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4253"/>
        <w:gridCol w:w="2658"/>
      </w:tblGrid>
      <w:tr w:rsidRPr="007D3387" w:rsidR="00BA6E28" w:rsidTr="132BB7D2" w14:paraId="73B0C6DE" w14:textId="77777777">
        <w:tc>
          <w:tcPr>
            <w:tcW w:w="2943" w:type="dxa"/>
            <w:vMerge w:val="restart"/>
            <w:tcBorders>
              <w:bottom w:val="single" w:color="auto" w:sz="4" w:space="0"/>
              <w:right w:val="single" w:color="auto" w:sz="4" w:space="0"/>
            </w:tcBorders>
            <w:tcMar/>
          </w:tcPr>
          <w:p w:rsidRPr="007D3387" w:rsidR="006F7599" w:rsidP="006F7599" w:rsidRDefault="006F7599" w14:paraId="6396A8E4" w14:textId="77777777">
            <w:pPr>
              <w:jc w:val="center"/>
              <w:rPr>
                <w:rFonts w:cs="Segoe UI"/>
                <w:b/>
                <w:caps/>
              </w:rPr>
            </w:pPr>
            <w:r w:rsidRPr="007D3387">
              <w:rPr>
                <w:rFonts w:cs="Segoe UI"/>
                <w:b/>
                <w:caps/>
              </w:rPr>
              <w:t xml:space="preserve">ХАРКІВСЬКИЙ ТОРГОВЕЛЬНО-ЕКОНОМІЧНИЙ фаховий коледж </w:t>
            </w:r>
          </w:p>
          <w:p w:rsidRPr="007D3387" w:rsidR="006F7599" w:rsidP="006F7599" w:rsidRDefault="006F7599" w14:paraId="25DA137D" w14:textId="77777777">
            <w:pPr>
              <w:jc w:val="center"/>
              <w:rPr>
                <w:rFonts w:cs="Segoe UI"/>
                <w:b/>
                <w:caps/>
              </w:rPr>
            </w:pPr>
          </w:p>
          <w:p w:rsidRPr="007D3387" w:rsidR="00BA6E28" w:rsidP="006F7599" w:rsidRDefault="006F7599" w14:paraId="45AE6923" w14:textId="3A2A6206">
            <w:pPr>
              <w:spacing w:after="60"/>
              <w:jc w:val="center"/>
              <w:rPr>
                <w:rFonts w:cs="Segoe UI"/>
                <w:b/>
              </w:rPr>
            </w:pPr>
            <w:r w:rsidRPr="007D3387">
              <w:rPr>
                <w:rFonts w:cs="Segoe UI"/>
                <w:b/>
                <w:caps/>
              </w:rPr>
              <w:t>державного торговельно-економічного університету</w:t>
            </w:r>
          </w:p>
        </w:tc>
        <w:tc>
          <w:tcPr>
            <w:tcW w:w="6911" w:type="dxa"/>
            <w:gridSpan w:val="2"/>
            <w:tcBorders>
              <w:left w:val="single" w:color="auto" w:sz="4" w:space="0"/>
            </w:tcBorders>
            <w:tcMar/>
          </w:tcPr>
          <w:p w:rsidRPr="000133F4" w:rsidR="00BA6E28" w:rsidP="006D5FA9" w:rsidRDefault="000133F4" w14:paraId="30F833FA" w14:textId="22D73EBE">
            <w:pPr>
              <w:spacing w:after="60"/>
              <w:jc w:val="center"/>
              <w:rPr>
                <w:rFonts w:eastAsia="Calibri" w:cs="Segoe UI"/>
                <w:b/>
                <w:bCs/>
                <w:szCs w:val="24"/>
                <w:lang w:val="uk"/>
              </w:rPr>
            </w:pPr>
            <w:r w:rsidRPr="000133F4">
              <w:rPr>
                <w:rFonts w:eastAsia="Times New Roman" w:cs="Segoe UI"/>
                <w:b/>
                <w:sz w:val="23"/>
                <w:szCs w:val="23"/>
              </w:rPr>
              <w:t xml:space="preserve">КРЕДИТУВАННЯ </w:t>
            </w:r>
            <w:r w:rsidR="006D5FA9">
              <w:rPr>
                <w:rFonts w:eastAsia="Times New Roman" w:cs="Segoe UI"/>
                <w:b/>
                <w:sz w:val="23"/>
                <w:szCs w:val="23"/>
              </w:rPr>
              <w:t>ТА ГРАНТИ ДЛЯ БІЗНЕСУ</w:t>
            </w:r>
          </w:p>
        </w:tc>
      </w:tr>
      <w:tr w:rsidRPr="007D3387" w:rsidR="00BA6E28" w:rsidTr="132BB7D2" w14:paraId="42A26D7C" w14:textId="77777777">
        <w:tc>
          <w:tcPr>
            <w:tcW w:w="2943" w:type="dxa"/>
            <w:vMerge/>
            <w:tcMar/>
          </w:tcPr>
          <w:p w:rsidRPr="007D3387" w:rsidR="00BA6E28" w:rsidP="001E6851" w:rsidRDefault="00BA6E28" w14:paraId="02EB378F" w14:textId="77777777">
            <w:pPr>
              <w:spacing w:after="60" w:line="360" w:lineRule="auto"/>
              <w:rPr>
                <w:rFonts w:cs="Segoe UI"/>
              </w:rPr>
            </w:pPr>
          </w:p>
        </w:tc>
        <w:tc>
          <w:tcPr>
            <w:tcW w:w="6911" w:type="dxa"/>
            <w:gridSpan w:val="2"/>
            <w:tcBorders>
              <w:left w:val="single" w:color="auto" w:sz="4" w:space="0"/>
            </w:tcBorders>
            <w:tcMar/>
          </w:tcPr>
          <w:p w:rsidRPr="00AF4A75" w:rsidR="00BA6E28" w:rsidP="006D5FA9" w:rsidRDefault="000133F4" w14:paraId="5F802752" w14:textId="1BD2BDA3">
            <w:pPr>
              <w:spacing w:after="60"/>
              <w:jc w:val="center"/>
              <w:rPr>
                <w:rFonts w:eastAsia="Calibri" w:cs="Segoe UI"/>
                <w:b/>
                <w:bCs/>
                <w:color w:val="404040" w:themeColor="text1" w:themeTint="BF"/>
                <w:szCs w:val="24"/>
                <w:lang w:val="en-US"/>
              </w:rPr>
            </w:pPr>
            <w:r w:rsidRPr="000133F4">
              <w:rPr>
                <w:rFonts w:eastAsia="Times New Roman" w:cs="Segoe UI"/>
                <w:sz w:val="23"/>
                <w:szCs w:val="23"/>
              </w:rPr>
              <w:t xml:space="preserve">LENDING </w:t>
            </w:r>
            <w:r w:rsidRPr="006D5FA9" w:rsidR="006D5FA9">
              <w:rPr>
                <w:rFonts w:eastAsia="Times New Roman" w:cs="Segoe UI"/>
                <w:sz w:val="23"/>
                <w:szCs w:val="23"/>
              </w:rPr>
              <w:t>AND GRANTS FOR BUSINESS</w:t>
            </w:r>
            <w:r w:rsidRPr="000133F4" w:rsidR="006D5FA9">
              <w:rPr>
                <w:rFonts w:eastAsia="Times New Roman" w:cs="Segoe UI"/>
                <w:sz w:val="23"/>
                <w:szCs w:val="23"/>
              </w:rPr>
              <w:t xml:space="preserve"> </w:t>
            </w:r>
          </w:p>
        </w:tc>
      </w:tr>
      <w:tr w:rsidRPr="007D3387" w:rsidR="00BA6E28" w:rsidTr="132BB7D2" w14:paraId="6A05A809" w14:textId="77777777">
        <w:tc>
          <w:tcPr>
            <w:tcW w:w="2943" w:type="dxa"/>
            <w:vMerge/>
            <w:tcMar/>
          </w:tcPr>
          <w:p w:rsidRPr="007D3387" w:rsidR="00BA6E28" w:rsidP="001E6851" w:rsidRDefault="00BA6E28" w14:paraId="5A39BBE3" w14:textId="77777777">
            <w:pPr>
              <w:spacing w:after="60" w:line="360" w:lineRule="auto"/>
              <w:rPr>
                <w:rFonts w:cs="Segoe UI"/>
              </w:rPr>
            </w:pPr>
          </w:p>
        </w:tc>
        <w:tc>
          <w:tcPr>
            <w:tcW w:w="4253" w:type="dxa"/>
            <w:tcBorders>
              <w:left w:val="single" w:color="auto" w:sz="4" w:space="0"/>
            </w:tcBorders>
            <w:tcMar/>
          </w:tcPr>
          <w:p w:rsidRPr="007D3387" w:rsidR="00BA6E28" w:rsidP="001E6851" w:rsidRDefault="00BA6E28" w14:paraId="41C8F396" w14:textId="77777777">
            <w:pPr>
              <w:spacing w:after="60"/>
              <w:rPr>
                <w:rFonts w:cs="Segoe UI"/>
                <w:sz w:val="16"/>
                <w:szCs w:val="16"/>
              </w:rPr>
            </w:pPr>
          </w:p>
        </w:tc>
        <w:tc>
          <w:tcPr>
            <w:tcW w:w="2658" w:type="dxa"/>
            <w:tcMar/>
          </w:tcPr>
          <w:p w:rsidRPr="007D3387" w:rsidR="00BA6E28" w:rsidP="001E6851" w:rsidRDefault="00BA6E28" w14:paraId="72A3D3EC" w14:textId="77777777">
            <w:pPr>
              <w:spacing w:after="60"/>
              <w:rPr>
                <w:rFonts w:cs="Segoe UI"/>
                <w:sz w:val="16"/>
                <w:szCs w:val="16"/>
              </w:rPr>
            </w:pPr>
          </w:p>
        </w:tc>
      </w:tr>
      <w:tr w:rsidRPr="007D3387" w:rsidR="00BA6E28" w:rsidTr="132BB7D2" w14:paraId="54ECD8A3" w14:textId="77777777">
        <w:tc>
          <w:tcPr>
            <w:tcW w:w="2943" w:type="dxa"/>
            <w:vMerge/>
            <w:tcMar/>
          </w:tcPr>
          <w:p w:rsidRPr="007D3387" w:rsidR="00BA6E28" w:rsidP="001E6851" w:rsidRDefault="00BA6E28" w14:paraId="0D0B940D" w14:textId="77777777">
            <w:pPr>
              <w:spacing w:after="60" w:line="360" w:lineRule="auto"/>
              <w:rPr>
                <w:rFonts w:cs="Segoe UI"/>
              </w:rPr>
            </w:pPr>
          </w:p>
        </w:tc>
        <w:tc>
          <w:tcPr>
            <w:tcW w:w="4253" w:type="dxa"/>
            <w:tcBorders>
              <w:left w:val="single" w:color="auto" w:sz="4" w:space="0"/>
            </w:tcBorders>
            <w:tcMar/>
          </w:tcPr>
          <w:p w:rsidRPr="007D3387" w:rsidR="00BA6E28" w:rsidP="007C2FAA" w:rsidRDefault="00D27E31" w14:paraId="00208945" w14:textId="350CF9E0">
            <w:pPr>
              <w:spacing w:after="60"/>
              <w:rPr>
                <w:rFonts w:cs="Segoe UI"/>
              </w:rPr>
            </w:pPr>
            <w:r>
              <w:rPr>
                <w:rFonts w:cs="Segoe UI"/>
              </w:rPr>
              <w:t>Ступінь освіти</w:t>
            </w:r>
            <w:r w:rsidRPr="007D3387" w:rsidR="00BA6E28">
              <w:rPr>
                <w:rFonts w:cs="Segoe UI"/>
              </w:rPr>
              <w:t xml:space="preserve"> </w:t>
            </w:r>
          </w:p>
        </w:tc>
        <w:tc>
          <w:tcPr>
            <w:tcW w:w="2658" w:type="dxa"/>
            <w:tcMar/>
          </w:tcPr>
          <w:p w:rsidRPr="007D3387" w:rsidR="00BA6E28" w:rsidP="007C2FAA" w:rsidRDefault="007C2FAA" w14:paraId="18067F49" w14:textId="59358E38">
            <w:pPr>
              <w:spacing w:after="60"/>
              <w:rPr>
                <w:rFonts w:cs="Segoe UI"/>
              </w:rPr>
            </w:pPr>
            <w:r>
              <w:rPr>
                <w:rFonts w:cs="Segoe UI"/>
              </w:rPr>
              <w:t>Фаховий молодший бакалавр</w:t>
            </w:r>
          </w:p>
        </w:tc>
      </w:tr>
      <w:tr w:rsidRPr="007D3387" w:rsidR="00BA6E28" w:rsidTr="132BB7D2" w14:paraId="75B26A3D" w14:textId="77777777">
        <w:tc>
          <w:tcPr>
            <w:tcW w:w="2943" w:type="dxa"/>
            <w:vMerge/>
            <w:tcMar/>
          </w:tcPr>
          <w:p w:rsidRPr="007D3387" w:rsidR="00BA6E28" w:rsidP="001E6851" w:rsidRDefault="00BA6E28" w14:paraId="60061E4C" w14:textId="77777777">
            <w:pPr>
              <w:spacing w:after="60" w:line="360" w:lineRule="auto"/>
              <w:rPr>
                <w:rFonts w:cs="Segoe UI"/>
              </w:rPr>
            </w:pPr>
          </w:p>
        </w:tc>
        <w:tc>
          <w:tcPr>
            <w:tcW w:w="4253" w:type="dxa"/>
            <w:tcBorders>
              <w:left w:val="single" w:color="auto" w:sz="4" w:space="0"/>
            </w:tcBorders>
            <w:tcMar/>
          </w:tcPr>
          <w:p w:rsidRPr="007D3387" w:rsidR="00BA6E28" w:rsidP="001E6851" w:rsidRDefault="55526D4B" w14:paraId="0B3E6CBF" w14:textId="0C36F4F7">
            <w:pPr>
              <w:spacing w:after="60"/>
              <w:rPr>
                <w:rFonts w:cs="Segoe UI"/>
              </w:rPr>
            </w:pPr>
            <w:r w:rsidRPr="007D3387">
              <w:rPr>
                <w:rFonts w:cs="Segoe UI"/>
              </w:rPr>
              <w:t xml:space="preserve">З </w:t>
            </w:r>
            <w:r w:rsidRPr="007D3387" w:rsidR="00BA6E28">
              <w:rPr>
                <w:rFonts w:cs="Segoe UI"/>
              </w:rPr>
              <w:t>яко</w:t>
            </w:r>
            <w:r w:rsidRPr="007D3387" w:rsidR="4C0A6002">
              <w:rPr>
                <w:rFonts w:cs="Segoe UI"/>
              </w:rPr>
              <w:t>го</w:t>
            </w:r>
            <w:r w:rsidRPr="007D3387" w:rsidR="00BA6E28">
              <w:rPr>
                <w:rFonts w:cs="Segoe UI"/>
              </w:rPr>
              <w:t xml:space="preserve"> курс</w:t>
            </w:r>
            <w:r w:rsidRPr="007D3387" w:rsidR="46D99830">
              <w:rPr>
                <w:rFonts w:cs="Segoe UI"/>
              </w:rPr>
              <w:t>у</w:t>
            </w:r>
            <w:r w:rsidRPr="007D3387" w:rsidR="00BA6E28">
              <w:rPr>
                <w:rFonts w:cs="Segoe UI"/>
              </w:rPr>
              <w:t xml:space="preserve"> викладається</w:t>
            </w:r>
          </w:p>
        </w:tc>
        <w:tc>
          <w:tcPr>
            <w:tcW w:w="2658" w:type="dxa"/>
            <w:tcMar/>
          </w:tcPr>
          <w:p w:rsidRPr="0021452B" w:rsidR="00BA6E28" w:rsidP="02482329" w:rsidRDefault="005C7B71" w14:paraId="7A49729F" w14:textId="7E68D442">
            <w:pPr>
              <w:spacing w:after="60" w:line="259" w:lineRule="auto"/>
              <w:rPr>
                <w:rFonts w:cs="Segoe UI"/>
              </w:rPr>
            </w:pPr>
            <w:r w:rsidRPr="132BB7D2" w:rsidR="7F4B759E">
              <w:rPr>
                <w:rFonts w:cs="Segoe UI"/>
              </w:rPr>
              <w:t>2</w:t>
            </w:r>
          </w:p>
        </w:tc>
      </w:tr>
      <w:tr w:rsidRPr="007D3387" w:rsidR="00BA6E28" w:rsidTr="132BB7D2" w14:paraId="3362FE0A" w14:textId="77777777">
        <w:tc>
          <w:tcPr>
            <w:tcW w:w="2943" w:type="dxa"/>
            <w:vMerge/>
            <w:tcMar/>
          </w:tcPr>
          <w:p w:rsidRPr="007D3387" w:rsidR="00BA6E28" w:rsidP="001E6851" w:rsidRDefault="00BA6E28" w14:paraId="44EAFD9C" w14:textId="77777777">
            <w:pPr>
              <w:spacing w:after="60" w:line="360" w:lineRule="auto"/>
              <w:rPr>
                <w:rFonts w:cs="Segoe UI"/>
              </w:rPr>
            </w:pPr>
          </w:p>
        </w:tc>
        <w:tc>
          <w:tcPr>
            <w:tcW w:w="4253" w:type="dxa"/>
            <w:tcBorders>
              <w:left w:val="single" w:color="auto" w:sz="4" w:space="0"/>
            </w:tcBorders>
            <w:tcMar/>
          </w:tcPr>
          <w:p w:rsidRPr="007D3387" w:rsidR="00BA6E28" w:rsidP="001E6851" w:rsidRDefault="00BA6E28" w14:paraId="34D3DB6E" w14:textId="77777777">
            <w:pPr>
              <w:spacing w:after="60"/>
              <w:rPr>
                <w:rFonts w:cs="Segoe UI"/>
              </w:rPr>
            </w:pPr>
            <w:r w:rsidRPr="007D3387">
              <w:rPr>
                <w:rFonts w:cs="Segoe UI"/>
              </w:rPr>
              <w:t>Обсяг дисципліни (годин / ECTS)</w:t>
            </w:r>
          </w:p>
        </w:tc>
        <w:tc>
          <w:tcPr>
            <w:tcW w:w="2658" w:type="dxa"/>
            <w:tcMar/>
          </w:tcPr>
          <w:p w:rsidRPr="0021452B" w:rsidR="00BA6E28" w:rsidP="005A73FC" w:rsidRDefault="005C7B71" w14:paraId="0174C1E7" w14:textId="28414A7E">
            <w:pPr>
              <w:spacing w:after="60"/>
              <w:rPr>
                <w:rFonts w:cs="Segoe UI"/>
              </w:rPr>
            </w:pPr>
            <w:r>
              <w:rPr>
                <w:rFonts w:cs="Segoe UI"/>
              </w:rPr>
              <w:t>90/3,0</w:t>
            </w:r>
          </w:p>
        </w:tc>
      </w:tr>
      <w:tr w:rsidRPr="007D3387" w:rsidR="00BA6E28" w:rsidTr="132BB7D2" w14:paraId="0CCE3818" w14:textId="77777777">
        <w:tc>
          <w:tcPr>
            <w:tcW w:w="2943" w:type="dxa"/>
            <w:vMerge/>
            <w:tcMar/>
          </w:tcPr>
          <w:p w:rsidRPr="007D3387" w:rsidR="00BA6E28" w:rsidP="001E6851" w:rsidRDefault="00BA6E28" w14:paraId="4B94D5A5" w14:textId="77777777">
            <w:pPr>
              <w:spacing w:after="60" w:line="360" w:lineRule="auto"/>
              <w:rPr>
                <w:rFonts w:cs="Segoe UI"/>
              </w:rPr>
            </w:pPr>
          </w:p>
        </w:tc>
        <w:tc>
          <w:tcPr>
            <w:tcW w:w="4253" w:type="dxa"/>
            <w:tcBorders>
              <w:left w:val="single" w:color="auto" w:sz="4" w:space="0"/>
            </w:tcBorders>
            <w:tcMar/>
          </w:tcPr>
          <w:p w:rsidRPr="007D3387" w:rsidR="00BA6E28" w:rsidP="001E6851" w:rsidRDefault="00BA6E28" w14:paraId="20C88CEF" w14:textId="77777777">
            <w:pPr>
              <w:spacing w:after="60"/>
              <w:rPr>
                <w:rFonts w:cs="Segoe UI"/>
              </w:rPr>
            </w:pPr>
            <w:r w:rsidRPr="007D3387">
              <w:rPr>
                <w:rFonts w:cs="Segoe UI"/>
              </w:rPr>
              <w:t>Тижневе навантаження</w:t>
            </w:r>
          </w:p>
        </w:tc>
        <w:tc>
          <w:tcPr>
            <w:tcW w:w="2658" w:type="dxa"/>
            <w:tcMar/>
          </w:tcPr>
          <w:p w:rsidRPr="0021452B" w:rsidR="00BA6E28" w:rsidP="001E6851" w:rsidRDefault="00604F33" w14:paraId="0902F922" w14:textId="1B3305DC">
            <w:pPr>
              <w:spacing w:after="60"/>
              <w:rPr>
                <w:rFonts w:cs="Segoe UI"/>
              </w:rPr>
            </w:pPr>
            <w:r>
              <w:rPr>
                <w:rFonts w:cs="Segoe UI"/>
              </w:rPr>
              <w:t>4</w:t>
            </w:r>
            <w:r w:rsidRPr="0021452B" w:rsidR="00BA6E28">
              <w:rPr>
                <w:rFonts w:cs="Segoe UI"/>
              </w:rPr>
              <w:t xml:space="preserve"> години</w:t>
            </w:r>
          </w:p>
        </w:tc>
      </w:tr>
      <w:tr w:rsidRPr="007D3387" w:rsidR="00CE7CF4" w:rsidTr="132BB7D2" w14:paraId="3190D9B3" w14:textId="77777777">
        <w:tc>
          <w:tcPr>
            <w:tcW w:w="2943" w:type="dxa"/>
            <w:vMerge/>
            <w:tcMar/>
          </w:tcPr>
          <w:p w:rsidRPr="007D3387" w:rsidR="00BA6E28" w:rsidP="001E6851" w:rsidRDefault="00BA6E28" w14:paraId="3DEEC669" w14:textId="77777777">
            <w:pPr>
              <w:spacing w:after="60" w:line="360" w:lineRule="auto"/>
              <w:rPr>
                <w:rFonts w:cs="Segoe UI"/>
              </w:rPr>
            </w:pPr>
          </w:p>
        </w:tc>
        <w:tc>
          <w:tcPr>
            <w:tcW w:w="4253" w:type="dxa"/>
            <w:tcBorders>
              <w:left w:val="single" w:color="auto" w:sz="4" w:space="0"/>
            </w:tcBorders>
            <w:tcMar/>
          </w:tcPr>
          <w:p w:rsidRPr="007D3387" w:rsidR="00BA6E28" w:rsidP="001E6851" w:rsidRDefault="00BA6E28" w14:paraId="55576BE8" w14:textId="77777777">
            <w:pPr>
              <w:spacing w:after="60"/>
              <w:rPr>
                <w:rFonts w:cs="Segoe UI"/>
              </w:rPr>
            </w:pPr>
            <w:r w:rsidRPr="007D3387">
              <w:rPr>
                <w:rFonts w:cs="Segoe UI"/>
              </w:rPr>
              <w:t>Мова викладання</w:t>
            </w:r>
          </w:p>
        </w:tc>
        <w:tc>
          <w:tcPr>
            <w:tcW w:w="2658" w:type="dxa"/>
            <w:tcMar/>
          </w:tcPr>
          <w:p w:rsidRPr="00520343" w:rsidR="00BA6E28" w:rsidP="001E6851" w:rsidRDefault="005A73FC" w14:paraId="05C4EE65" w14:textId="5114E8AA">
            <w:pPr>
              <w:spacing w:after="60"/>
              <w:rPr>
                <w:rFonts w:cs="Segoe UI"/>
                <w:lang w:val="en-US"/>
              </w:rPr>
            </w:pPr>
            <w:r>
              <w:rPr>
                <w:rFonts w:cs="Segoe UI"/>
              </w:rPr>
              <w:t>Українська</w:t>
            </w:r>
          </w:p>
        </w:tc>
      </w:tr>
      <w:tr w:rsidRPr="007D3387" w:rsidR="00CE7CF4" w:rsidTr="132BB7D2" w14:paraId="5EEB4B27" w14:textId="77777777">
        <w:tc>
          <w:tcPr>
            <w:tcW w:w="2943" w:type="dxa"/>
            <w:vMerge/>
            <w:tcMar/>
          </w:tcPr>
          <w:p w:rsidRPr="007D3387" w:rsidR="00BA6E28" w:rsidP="001E6851" w:rsidRDefault="00BA6E28" w14:paraId="3656B9AB" w14:textId="77777777">
            <w:pPr>
              <w:spacing w:after="60" w:line="360" w:lineRule="auto"/>
              <w:rPr>
                <w:rFonts w:cs="Segoe UI"/>
              </w:rPr>
            </w:pPr>
          </w:p>
        </w:tc>
        <w:tc>
          <w:tcPr>
            <w:tcW w:w="4253" w:type="dxa"/>
            <w:tcBorders>
              <w:left w:val="single" w:color="auto" w:sz="4" w:space="0"/>
              <w:bottom w:val="single" w:color="auto" w:sz="4" w:space="0"/>
            </w:tcBorders>
            <w:tcMar/>
          </w:tcPr>
          <w:p w:rsidRPr="007D3387" w:rsidR="00BA6E28" w:rsidP="001E6851" w:rsidRDefault="00BA6E28" w14:paraId="082B2395" w14:textId="77777777">
            <w:pPr>
              <w:spacing w:after="60"/>
              <w:rPr>
                <w:rFonts w:cs="Segoe UI"/>
              </w:rPr>
            </w:pPr>
            <w:r w:rsidRPr="007D3387">
              <w:rPr>
                <w:rFonts w:cs="Segoe UI"/>
              </w:rPr>
              <w:t>Статус дисципліни</w:t>
            </w:r>
          </w:p>
        </w:tc>
        <w:tc>
          <w:tcPr>
            <w:tcW w:w="2658" w:type="dxa"/>
            <w:tcBorders>
              <w:bottom w:val="single" w:color="auto" w:sz="4" w:space="0"/>
            </w:tcBorders>
            <w:tcMar/>
          </w:tcPr>
          <w:p w:rsidRPr="007D3387" w:rsidR="00BA6E28" w:rsidP="001E6851" w:rsidRDefault="00BA6E28" w14:paraId="1435A83B" w14:textId="77777777">
            <w:pPr>
              <w:spacing w:after="60"/>
              <w:rPr>
                <w:rFonts w:cs="Segoe UI"/>
              </w:rPr>
            </w:pPr>
            <w:r w:rsidRPr="007D3387">
              <w:rPr>
                <w:rFonts w:cs="Segoe UI"/>
              </w:rPr>
              <w:t>Вибіркова</w:t>
            </w:r>
          </w:p>
        </w:tc>
      </w:tr>
    </w:tbl>
    <w:p w:rsidR="006D5FA9" w:rsidP="006D5FA9" w:rsidRDefault="006D5FA9" w14:paraId="568FC504" w14:textId="687DF3AA">
      <w:pPr>
        <w:pStyle w:val="HTML"/>
        <w:shd w:val="clear" w:color="auto" w:fill="F8F9FA"/>
        <w:spacing w:line="540" w:lineRule="atLeast"/>
        <w:rPr>
          <w:rFonts w:ascii="inherit" w:hAnsi="inherit"/>
          <w:color w:val="202124"/>
          <w:sz w:val="42"/>
          <w:szCs w:val="42"/>
        </w:rPr>
      </w:pPr>
    </w:p>
    <w:p w:rsidRPr="007D3387" w:rsidR="003500F3" w:rsidP="006D5FA9" w:rsidRDefault="006D5FA9" w14:paraId="00EC8A1F" w14:textId="64860F3B">
      <w:pPr>
        <w:pStyle w:val="2"/>
        <w:rPr>
          <w:rFonts w:cs="Segoe UI"/>
        </w:rPr>
      </w:pPr>
      <w:r w:rsidRPr="007D3387">
        <w:rPr>
          <w:rFonts w:cs="Segoe UI"/>
        </w:rPr>
        <w:t xml:space="preserve"> </w:t>
      </w:r>
      <w:r w:rsidRPr="007D3387" w:rsidR="00302969">
        <w:rPr>
          <w:rFonts w:cs="Segoe UI"/>
        </w:rPr>
        <w:t>Інформація про викладача</w:t>
      </w:r>
    </w:p>
    <w:tbl>
      <w:tblPr>
        <w:tblStyle w:val="a4"/>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55"/>
        <w:gridCol w:w="5999"/>
      </w:tblGrid>
      <w:tr w:rsidRPr="007D3387" w:rsidR="00302969" w:rsidTr="733B9403" w14:paraId="23EB4FC1" w14:textId="77777777">
        <w:tc>
          <w:tcPr>
            <w:tcW w:w="3855" w:type="dxa"/>
            <w:tcBorders>
              <w:bottom w:val="single" w:color="auto" w:sz="4" w:space="0"/>
            </w:tcBorders>
          </w:tcPr>
          <w:p w:rsidRPr="007D3387" w:rsidR="00302969" w:rsidP="001E6851" w:rsidRDefault="00302969" w14:paraId="2F914154" w14:textId="77777777">
            <w:pPr>
              <w:spacing w:after="60"/>
              <w:jc w:val="left"/>
              <w:rPr>
                <w:rFonts w:cs="Segoe UI"/>
              </w:rPr>
            </w:pPr>
            <w:r w:rsidRPr="007D3387">
              <w:rPr>
                <w:rFonts w:cs="Segoe UI"/>
              </w:rPr>
              <w:t>Прізвище, ім’я та</w:t>
            </w:r>
            <w:r w:rsidRPr="007D3387" w:rsidR="008C1D77">
              <w:rPr>
                <w:rFonts w:cs="Segoe UI"/>
              </w:rPr>
              <w:t> </w:t>
            </w:r>
            <w:r w:rsidRPr="007D3387">
              <w:rPr>
                <w:rFonts w:cs="Segoe UI"/>
              </w:rPr>
              <w:t>по</w:t>
            </w:r>
            <w:r w:rsidRPr="007D3387" w:rsidR="00FE25F6">
              <w:rPr>
                <w:rFonts w:cs="Segoe UI"/>
              </w:rPr>
              <w:t> </w:t>
            </w:r>
            <w:r w:rsidRPr="007D3387">
              <w:rPr>
                <w:rFonts w:cs="Segoe UI"/>
              </w:rPr>
              <w:t>батькові</w:t>
            </w:r>
          </w:p>
        </w:tc>
        <w:tc>
          <w:tcPr>
            <w:tcW w:w="5999" w:type="dxa"/>
            <w:tcBorders>
              <w:bottom w:val="single" w:color="auto" w:sz="4" w:space="0"/>
            </w:tcBorders>
          </w:tcPr>
          <w:p w:rsidRPr="007D3387" w:rsidR="00302969" w:rsidP="001E6851" w:rsidRDefault="005A73FC" w14:paraId="4C4B4502" w14:textId="61FC9E93">
            <w:pPr>
              <w:spacing w:after="60"/>
              <w:jc w:val="left"/>
              <w:rPr>
                <w:rFonts w:cs="Segoe UI"/>
              </w:rPr>
            </w:pPr>
            <w:proofErr w:type="spellStart"/>
            <w:r>
              <w:rPr>
                <w:rFonts w:cs="Segoe UI"/>
              </w:rPr>
              <w:t>Постольна</w:t>
            </w:r>
            <w:proofErr w:type="spellEnd"/>
            <w:r>
              <w:rPr>
                <w:rFonts w:cs="Segoe UI"/>
              </w:rPr>
              <w:t xml:space="preserve"> Наталія Олександрівна</w:t>
            </w:r>
          </w:p>
        </w:tc>
      </w:tr>
      <w:tr w:rsidRPr="007D3387" w:rsidR="00520343" w:rsidTr="733B9403" w14:paraId="5B3F3FAE" w14:textId="77777777">
        <w:tc>
          <w:tcPr>
            <w:tcW w:w="3855" w:type="dxa"/>
            <w:tcBorders>
              <w:top w:val="single" w:color="auto" w:sz="4" w:space="0"/>
              <w:bottom w:val="single" w:color="auto" w:sz="4" w:space="0"/>
            </w:tcBorders>
          </w:tcPr>
          <w:p w:rsidRPr="007D3387" w:rsidR="00520343" w:rsidP="001E6851" w:rsidRDefault="00520343" w14:paraId="2C3E2CE1" w14:textId="1FAF1334">
            <w:pPr>
              <w:spacing w:after="60"/>
              <w:jc w:val="left"/>
              <w:rPr>
                <w:rFonts w:cs="Segoe UI"/>
              </w:rPr>
            </w:pPr>
            <w:r>
              <w:t>Кваліфікаційна категорія, педагогічне звання</w:t>
            </w:r>
          </w:p>
        </w:tc>
        <w:tc>
          <w:tcPr>
            <w:tcW w:w="5999" w:type="dxa"/>
            <w:tcBorders>
              <w:top w:val="single" w:color="auto" w:sz="4" w:space="0"/>
              <w:bottom w:val="single" w:color="auto" w:sz="4" w:space="0"/>
            </w:tcBorders>
          </w:tcPr>
          <w:p w:rsidRPr="007D3387" w:rsidR="00520343" w:rsidP="001E6851" w:rsidRDefault="005A73FC" w14:paraId="684C8961" w14:textId="2ED34BC6">
            <w:pPr>
              <w:spacing w:after="60"/>
              <w:jc w:val="left"/>
              <w:rPr>
                <w:rFonts w:cs="Segoe UI"/>
              </w:rPr>
            </w:pPr>
            <w:r>
              <w:rPr>
                <w:rFonts w:cs="Segoe UI"/>
              </w:rPr>
              <w:t xml:space="preserve">Спеціаліст </w:t>
            </w:r>
            <w:r w:rsidR="005C7B71">
              <w:rPr>
                <w:rFonts w:cs="Segoe UI"/>
              </w:rPr>
              <w:t>І категорії</w:t>
            </w:r>
          </w:p>
        </w:tc>
      </w:tr>
      <w:tr w:rsidRPr="007D3387" w:rsidR="00520343" w:rsidTr="733B9403" w14:paraId="7203B5D0" w14:textId="77777777">
        <w:tc>
          <w:tcPr>
            <w:tcW w:w="3855" w:type="dxa"/>
            <w:tcBorders>
              <w:top w:val="single" w:color="auto" w:sz="4" w:space="0"/>
              <w:bottom w:val="single" w:color="auto" w:sz="4" w:space="0"/>
            </w:tcBorders>
          </w:tcPr>
          <w:p w:rsidRPr="007D3387" w:rsidR="00520343" w:rsidP="001E6851" w:rsidRDefault="00520343" w14:paraId="0F4D839F" w14:textId="77777777">
            <w:pPr>
              <w:spacing w:after="60"/>
              <w:jc w:val="left"/>
              <w:rPr>
                <w:rFonts w:cs="Segoe UI"/>
              </w:rPr>
            </w:pPr>
            <w:r w:rsidRPr="007D3387">
              <w:rPr>
                <w:rFonts w:cs="Segoe UI"/>
              </w:rPr>
              <w:t>Науковий ступінь, вчене звання</w:t>
            </w:r>
          </w:p>
        </w:tc>
        <w:tc>
          <w:tcPr>
            <w:tcW w:w="5999" w:type="dxa"/>
            <w:tcBorders>
              <w:top w:val="single" w:color="auto" w:sz="4" w:space="0"/>
              <w:bottom w:val="single" w:color="auto" w:sz="4" w:space="0"/>
            </w:tcBorders>
          </w:tcPr>
          <w:p w:rsidRPr="007D3387" w:rsidR="00520343" w:rsidP="001E6851" w:rsidRDefault="00E53642" w14:paraId="154A1917" w14:textId="1252EE84">
            <w:pPr>
              <w:spacing w:after="60"/>
              <w:jc w:val="left"/>
              <w:rPr>
                <w:rFonts w:cs="Segoe UI"/>
              </w:rPr>
            </w:pPr>
            <w:r>
              <w:rPr>
                <w:rFonts w:cs="Segoe UI"/>
              </w:rPr>
              <w:t>-</w:t>
            </w:r>
          </w:p>
        </w:tc>
      </w:tr>
      <w:tr w:rsidRPr="007D3387" w:rsidR="00520343" w:rsidTr="733B9403" w14:paraId="6B886041" w14:textId="77777777">
        <w:tc>
          <w:tcPr>
            <w:tcW w:w="3855" w:type="dxa"/>
            <w:tcBorders>
              <w:top w:val="single" w:color="auto" w:sz="4" w:space="0"/>
              <w:bottom w:val="single" w:color="auto" w:sz="4" w:space="0"/>
            </w:tcBorders>
          </w:tcPr>
          <w:p w:rsidRPr="00520343" w:rsidR="00520343" w:rsidP="001E6851" w:rsidRDefault="00520343" w14:paraId="69B3D99D" w14:textId="0CC8D23E">
            <w:pPr>
              <w:spacing w:after="60"/>
              <w:jc w:val="left"/>
              <w:rPr>
                <w:rFonts w:cs="Segoe UI"/>
              </w:rPr>
            </w:pPr>
            <w:r>
              <w:rPr>
                <w:rFonts w:cs="Segoe UI"/>
              </w:rPr>
              <w:t>Циклова комісія</w:t>
            </w:r>
          </w:p>
        </w:tc>
        <w:tc>
          <w:tcPr>
            <w:tcW w:w="5999" w:type="dxa"/>
            <w:tcBorders>
              <w:top w:val="single" w:color="auto" w:sz="4" w:space="0"/>
              <w:bottom w:val="single" w:color="auto" w:sz="4" w:space="0"/>
            </w:tcBorders>
          </w:tcPr>
          <w:p w:rsidRPr="007D3387" w:rsidR="00520343" w:rsidP="001E6851" w:rsidRDefault="00B764AE" w14:paraId="2043BE08" w14:textId="79EFCEC7">
            <w:pPr>
              <w:spacing w:after="60"/>
              <w:jc w:val="left"/>
              <w:rPr>
                <w:rFonts w:cs="Segoe UI"/>
              </w:rPr>
            </w:pPr>
            <w:hyperlink w:history="1" r:id="rId11">
              <w:r w:rsidRPr="00E53642" w:rsidR="00E53642">
                <w:rPr>
                  <w:rStyle w:val="a3"/>
                </w:rPr>
                <w:t>Економіки, управління та адміністрування</w:t>
              </w:r>
            </w:hyperlink>
          </w:p>
        </w:tc>
      </w:tr>
      <w:tr w:rsidRPr="007D3387" w:rsidR="00520343" w:rsidTr="733B9403" w14:paraId="50C4C36C" w14:textId="77777777">
        <w:tc>
          <w:tcPr>
            <w:tcW w:w="3855" w:type="dxa"/>
            <w:tcBorders>
              <w:top w:val="single" w:color="auto" w:sz="4" w:space="0"/>
              <w:bottom w:val="single" w:color="auto" w:sz="4" w:space="0"/>
            </w:tcBorders>
          </w:tcPr>
          <w:p w:rsidRPr="007D3387" w:rsidR="00520343" w:rsidP="001E6851" w:rsidRDefault="00520343" w14:paraId="09D9C3F1" w14:textId="77777777">
            <w:pPr>
              <w:spacing w:after="60"/>
              <w:jc w:val="left"/>
              <w:rPr>
                <w:rFonts w:cs="Segoe UI"/>
                <w:lang w:val="ru-RU"/>
              </w:rPr>
            </w:pPr>
            <w:r w:rsidRPr="007D3387">
              <w:rPr>
                <w:rFonts w:cs="Segoe UI"/>
              </w:rPr>
              <w:t>Профіль викладача</w:t>
            </w:r>
          </w:p>
        </w:tc>
        <w:tc>
          <w:tcPr>
            <w:tcW w:w="5999" w:type="dxa"/>
            <w:tcBorders>
              <w:top w:val="single" w:color="auto" w:sz="4" w:space="0"/>
              <w:bottom w:val="single" w:color="auto" w:sz="4" w:space="0"/>
            </w:tcBorders>
          </w:tcPr>
          <w:p w:rsidRPr="007D3387" w:rsidR="00520343" w:rsidP="00E53642" w:rsidRDefault="00B764AE" w14:paraId="418E67C8" w14:textId="743948A1">
            <w:pPr>
              <w:spacing w:after="60"/>
              <w:jc w:val="left"/>
              <w:rPr>
                <w:rFonts w:cs="Segoe UI"/>
              </w:rPr>
            </w:pPr>
            <w:hyperlink w:history="1" r:id="rId12">
              <w:r w:rsidRPr="00A003F0" w:rsidR="00520343">
                <w:rPr>
                  <w:rStyle w:val="a3"/>
                  <w:rFonts w:cs="Segoe UI"/>
                </w:rPr>
                <w:t>ORCID</w:t>
              </w:r>
            </w:hyperlink>
            <w:r w:rsidRPr="007D3387" w:rsidR="00520343">
              <w:rPr>
                <w:rFonts w:cs="Segoe UI"/>
              </w:rPr>
              <w:t xml:space="preserve"> / </w:t>
            </w:r>
            <w:hyperlink w:history="1" r:id="rId13">
              <w:r w:rsidRPr="00E53642" w:rsidR="00520343">
                <w:rPr>
                  <w:rStyle w:val="a3"/>
                  <w:rFonts w:cs="Segoe UI"/>
                </w:rPr>
                <w:t>R</w:t>
              </w:r>
              <w:r w:rsidRPr="00E53642" w:rsidR="00520343">
                <w:rPr>
                  <w:rStyle w:val="a3"/>
                  <w:rFonts w:cs="Segoe UI"/>
                  <w:lang w:val="en-US"/>
                </w:rPr>
                <w:t>e</w:t>
              </w:r>
              <w:proofErr w:type="spellStart"/>
              <w:r w:rsidRPr="00E53642" w:rsidR="00520343">
                <w:rPr>
                  <w:rStyle w:val="a3"/>
                  <w:rFonts w:cs="Segoe UI"/>
                </w:rPr>
                <w:t>search</w:t>
              </w:r>
              <w:proofErr w:type="spellEnd"/>
              <w:r w:rsidRPr="00E53642" w:rsidR="00520343">
                <w:rPr>
                  <w:rStyle w:val="a3"/>
                  <w:rFonts w:cs="Segoe UI"/>
                  <w:lang w:val="en-US"/>
                </w:rPr>
                <w:t>Gate</w:t>
              </w:r>
            </w:hyperlink>
            <w:r w:rsidRPr="007D3387" w:rsidR="00520343">
              <w:rPr>
                <w:rFonts w:cs="Segoe UI"/>
              </w:rPr>
              <w:t xml:space="preserve"> </w:t>
            </w:r>
          </w:p>
        </w:tc>
      </w:tr>
      <w:tr w:rsidRPr="007D3387" w:rsidR="00520343" w:rsidTr="733B9403" w14:paraId="3D97B2E5" w14:textId="77777777">
        <w:tc>
          <w:tcPr>
            <w:tcW w:w="3855" w:type="dxa"/>
            <w:tcBorders>
              <w:top w:val="single" w:color="auto" w:sz="4" w:space="0"/>
              <w:bottom w:val="single" w:color="auto" w:sz="4" w:space="0"/>
            </w:tcBorders>
          </w:tcPr>
          <w:p w:rsidRPr="007D3387" w:rsidR="00520343" w:rsidP="001E6851" w:rsidRDefault="00520343" w14:paraId="4AA9B75F" w14:textId="77777777">
            <w:pPr>
              <w:spacing w:after="60"/>
              <w:jc w:val="left"/>
              <w:rPr>
                <w:rFonts w:cs="Segoe UI"/>
              </w:rPr>
            </w:pPr>
            <w:r w:rsidRPr="007D3387">
              <w:rPr>
                <w:rFonts w:cs="Segoe UI"/>
              </w:rPr>
              <w:t>Контактна інформація</w:t>
            </w:r>
          </w:p>
        </w:tc>
        <w:tc>
          <w:tcPr>
            <w:tcW w:w="5999" w:type="dxa"/>
            <w:tcBorders>
              <w:top w:val="single" w:color="auto" w:sz="4" w:space="0"/>
              <w:bottom w:val="single" w:color="auto" w:sz="4" w:space="0"/>
            </w:tcBorders>
          </w:tcPr>
          <w:p w:rsidRPr="00A003F0" w:rsidR="00520343" w:rsidP="001E6851" w:rsidRDefault="00B764AE" w14:paraId="5C8DEC56" w14:textId="439BF8A4">
            <w:pPr>
              <w:spacing w:after="60"/>
              <w:jc w:val="left"/>
              <w:rPr>
                <w:rFonts w:cs="Segoe UI"/>
              </w:rPr>
            </w:pPr>
            <w:hyperlink w:history="1" r:id="rId14">
              <w:r w:rsidRPr="00C96C5C" w:rsidR="00A003F0">
                <w:rPr>
                  <w:rStyle w:val="a3"/>
                  <w:rFonts w:cs="Segoe UI"/>
                  <w:lang w:val="en-US"/>
                </w:rPr>
                <w:t>n</w:t>
              </w:r>
              <w:r w:rsidRPr="00C96C5C" w:rsidR="00A003F0">
                <w:rPr>
                  <w:rStyle w:val="a3"/>
                  <w:rFonts w:cs="Segoe UI"/>
                </w:rPr>
                <w:t>.</w:t>
              </w:r>
              <w:r w:rsidRPr="00C96C5C" w:rsidR="00A003F0">
                <w:rPr>
                  <w:rStyle w:val="a3"/>
                  <w:rFonts w:cs="Segoe UI"/>
                  <w:lang w:val="en-US"/>
                </w:rPr>
                <w:t>postolna</w:t>
              </w:r>
              <w:r w:rsidRPr="00C96C5C" w:rsidR="00A003F0">
                <w:rPr>
                  <w:rStyle w:val="a3"/>
                  <w:rFonts w:cs="Segoe UI"/>
                </w:rPr>
                <w:t>@knute.edu.ua</w:t>
              </w:r>
            </w:hyperlink>
            <w:r w:rsidRPr="00A003F0" w:rsidR="00A003F0">
              <w:rPr>
                <w:rFonts w:cs="Segoe UI"/>
              </w:rPr>
              <w:t xml:space="preserve"> </w:t>
            </w:r>
          </w:p>
        </w:tc>
      </w:tr>
    </w:tbl>
    <w:p w:rsidRPr="007D3387" w:rsidR="003500F3" w:rsidRDefault="003500F3" w14:paraId="049F31CB" w14:textId="77777777">
      <w:pPr>
        <w:rPr>
          <w:rFonts w:cs="Segoe UI"/>
        </w:rPr>
      </w:pPr>
    </w:p>
    <w:p w:rsidRPr="007D3387" w:rsidR="009635B1" w:rsidP="009635B1" w:rsidRDefault="009635B1" w14:paraId="52509215" w14:textId="77777777">
      <w:pPr>
        <w:pStyle w:val="2"/>
        <w:rPr>
          <w:rFonts w:cs="Segoe UI"/>
        </w:rPr>
      </w:pPr>
      <w:r w:rsidRPr="007D3387">
        <w:rPr>
          <w:rFonts w:cs="Segoe UI"/>
        </w:rPr>
        <w:t>Анотація</w:t>
      </w:r>
    </w:p>
    <w:p w:rsidR="006F0436" w:rsidP="004A1CF6" w:rsidRDefault="006F0436" w14:paraId="30E9F7E9" w14:textId="5ECA3E09">
      <w:pPr>
        <w:autoSpaceDE w:val="0"/>
        <w:autoSpaceDN w:val="0"/>
        <w:adjustRightInd w:val="0"/>
        <w:spacing w:after="0"/>
      </w:pPr>
      <w:r w:rsidRPr="006F0436">
        <w:t>Загальноекономічною причиною появи кредитних відносин є товарне виробництво. Основою функціонування кредиту є рух вартості у сфері товарного обміну, в процесі якого виникає розрив у часі між рухом товару і його грошовим еквівалентом, відбувається відокремлення грошової форми вартості від товарної. Якщо рух товарних потоків випереджає грошовий, то підприємства - споживачі товарів із настанням моменту плати за них не завжди мають достатні кошти, що може зупинити нормальний процес відтворення. Коли рух грошових потоків випереджає товарні, то на підприємствах нагромаджуються тимчасово вільні кошти.</w:t>
      </w:r>
    </w:p>
    <w:p w:rsidR="008A7CBB" w:rsidP="004A1CF6" w:rsidRDefault="00A73D20" w14:paraId="35839209" w14:textId="097A889A">
      <w:pPr>
        <w:autoSpaceDE w:val="0"/>
        <w:autoSpaceDN w:val="0"/>
        <w:adjustRightInd w:val="0"/>
        <w:spacing w:after="0"/>
      </w:pPr>
      <w:r>
        <w:t>Розвиток ринкової економіки в Україні посилює увагу економічної науки до всіх складових ринкових відносин. Сьогодні найактуальнішим аспектом є розробка нових концептуальних основ кредитних інструментів розвитку реальної економіки. Кредит як економічна категорія має не лише внутрішню сутність, що виявляється в його структурі, законах руху, формах та видах, але також активно взаємодіє із зовнішнім середовищем та стимулює процес розширеного відтворення.</w:t>
      </w:r>
    </w:p>
    <w:p w:rsidRPr="007D3387" w:rsidR="00F82D54" w:rsidP="004A1CF6" w:rsidRDefault="00F82D54" w14:paraId="4DD63759" w14:textId="22FBEB6E">
      <w:pPr>
        <w:pStyle w:val="2"/>
        <w:spacing w:before="120"/>
        <w:rPr>
          <w:rFonts w:cs="Segoe UI"/>
        </w:rPr>
      </w:pPr>
      <w:r w:rsidRPr="007D3387">
        <w:rPr>
          <w:rFonts w:cs="Segoe UI"/>
        </w:rPr>
        <w:t>Мета дисципліни</w:t>
      </w:r>
    </w:p>
    <w:p w:rsidR="005C7B71" w:rsidP="005C7B71" w:rsidRDefault="00BB7528" w14:paraId="4134CFAB" w14:textId="77777777">
      <w:r w:rsidRPr="008756F8">
        <w:t xml:space="preserve">Формування </w:t>
      </w:r>
      <w:r w:rsidRPr="008756F8" w:rsidR="005C7B71">
        <w:t>системи теоретичних знань та практичних навичок студентів</w:t>
      </w:r>
      <w:r w:rsidR="005C7B71">
        <w:t xml:space="preserve"> у</w:t>
      </w:r>
      <w:r w:rsidRPr="008756F8" w:rsidR="005C7B71">
        <w:t xml:space="preserve"> сфер</w:t>
      </w:r>
      <w:r w:rsidR="005C7B71">
        <w:t>і</w:t>
      </w:r>
      <w:r w:rsidRPr="008756F8" w:rsidR="005C7B71">
        <w:t xml:space="preserve"> кредитних взаємовідносин, що виникають між </w:t>
      </w:r>
      <w:r w:rsidR="005C7B71">
        <w:t>кредитором</w:t>
      </w:r>
      <w:r w:rsidRPr="008756F8" w:rsidR="005C7B71">
        <w:t xml:space="preserve"> і позичальником, отримання знань щодо прийняття рішень про </w:t>
      </w:r>
      <w:r w:rsidR="005C7B71">
        <w:t>одержання</w:t>
      </w:r>
      <w:r w:rsidRPr="008756F8" w:rsidR="005C7B71">
        <w:t xml:space="preserve"> кредитів і мінімізації </w:t>
      </w:r>
      <w:r w:rsidRPr="008756F8" w:rsidR="005C7B71">
        <w:lastRenderedPageBreak/>
        <w:t>кредитних ризиків, виявлення основних етапів і механізмів о</w:t>
      </w:r>
      <w:r w:rsidR="005C7B71">
        <w:t>рганізації кредитного процесу.</w:t>
      </w:r>
    </w:p>
    <w:p w:rsidRPr="007D3387" w:rsidR="008E1923" w:rsidP="008E1923" w:rsidRDefault="008E1923" w14:paraId="03F779CC" w14:textId="77777777">
      <w:pPr>
        <w:pStyle w:val="2"/>
        <w:rPr>
          <w:rFonts w:cs="Segoe UI"/>
        </w:rPr>
      </w:pPr>
      <w:r w:rsidRPr="007D3387">
        <w:rPr>
          <w:rFonts w:cs="Segoe UI"/>
        </w:rPr>
        <w:t>У результаті вивчення дисципліни студент буде</w:t>
      </w:r>
    </w:p>
    <w:p w:rsidRPr="007D3387" w:rsidR="00093A0F" w:rsidP="00093A0F" w:rsidRDefault="00093A0F" w14:paraId="6EBFAC1D" w14:textId="77777777">
      <w:pPr>
        <w:rPr>
          <w:rFonts w:cs="Segoe UI"/>
          <w:i/>
        </w:rPr>
      </w:pPr>
      <w:r w:rsidRPr="007D3387">
        <w:rPr>
          <w:rFonts w:cs="Segoe UI"/>
          <w:i/>
        </w:rPr>
        <w:t>знати:</w:t>
      </w:r>
    </w:p>
    <w:p w:rsidR="005C7B71" w:rsidP="005C7B71" w:rsidRDefault="005C7B71" w14:paraId="0550E466" w14:textId="77777777">
      <w:pPr>
        <w:pStyle w:val="a7"/>
        <w:numPr>
          <w:ilvl w:val="0"/>
          <w:numId w:val="6"/>
        </w:numPr>
        <w:spacing w:line="240" w:lineRule="auto"/>
        <w:ind w:left="426"/>
        <w:rPr>
          <w:rFonts w:cstheme="minorHAnsi"/>
          <w:szCs w:val="28"/>
        </w:rPr>
      </w:pPr>
      <w:r>
        <w:rPr>
          <w:rFonts w:cstheme="minorHAnsi"/>
          <w:szCs w:val="28"/>
        </w:rPr>
        <w:t>с</w:t>
      </w:r>
      <w:r w:rsidRPr="00944730">
        <w:rPr>
          <w:rFonts w:cstheme="minorHAnsi"/>
          <w:szCs w:val="28"/>
        </w:rPr>
        <w:t xml:space="preserve">утність кредиту, його </w:t>
      </w:r>
      <w:r>
        <w:rPr>
          <w:rFonts w:cstheme="minorHAnsi"/>
          <w:szCs w:val="28"/>
        </w:rPr>
        <w:t>види та принципи кредитування;</w:t>
      </w:r>
    </w:p>
    <w:p w:rsidR="005C7B71" w:rsidP="005C7B71" w:rsidRDefault="005C7B71" w14:paraId="0B56DBEC" w14:textId="77777777">
      <w:pPr>
        <w:pStyle w:val="a7"/>
        <w:numPr>
          <w:ilvl w:val="0"/>
          <w:numId w:val="6"/>
        </w:numPr>
        <w:spacing w:line="240" w:lineRule="auto"/>
        <w:ind w:left="426"/>
        <w:rPr>
          <w:rFonts w:cstheme="minorHAnsi"/>
          <w:szCs w:val="28"/>
        </w:rPr>
      </w:pPr>
      <w:r>
        <w:rPr>
          <w:rFonts w:cstheme="minorHAnsi"/>
          <w:szCs w:val="28"/>
        </w:rPr>
        <w:t>причини виникнення кредитних ризиків та методи управління ними;</w:t>
      </w:r>
    </w:p>
    <w:p w:rsidR="005C7B71" w:rsidP="005C7B71" w:rsidRDefault="005C7B71" w14:paraId="1E3FAF6C" w14:textId="77777777">
      <w:pPr>
        <w:pStyle w:val="a7"/>
        <w:numPr>
          <w:ilvl w:val="0"/>
          <w:numId w:val="6"/>
        </w:numPr>
        <w:spacing w:line="240" w:lineRule="auto"/>
        <w:ind w:left="426"/>
        <w:rPr>
          <w:rFonts w:cstheme="minorHAnsi"/>
          <w:szCs w:val="28"/>
        </w:rPr>
      </w:pPr>
      <w:r>
        <w:rPr>
          <w:rFonts w:cstheme="minorHAnsi"/>
          <w:szCs w:val="28"/>
        </w:rPr>
        <w:t>види банківських кредитів, умови їх надання та погашення;</w:t>
      </w:r>
    </w:p>
    <w:p w:rsidR="005C7B71" w:rsidP="005C7B71" w:rsidRDefault="005C7B71" w14:paraId="0C398F0A" w14:textId="77777777">
      <w:pPr>
        <w:pStyle w:val="a7"/>
        <w:numPr>
          <w:ilvl w:val="0"/>
          <w:numId w:val="6"/>
        </w:numPr>
        <w:spacing w:line="240" w:lineRule="auto"/>
        <w:ind w:left="426"/>
        <w:rPr>
          <w:rFonts w:cstheme="minorHAnsi"/>
          <w:szCs w:val="28"/>
        </w:rPr>
      </w:pPr>
      <w:r>
        <w:rPr>
          <w:rFonts w:cstheme="minorHAnsi"/>
          <w:szCs w:val="28"/>
        </w:rPr>
        <w:t>особливості комерційного кредитування;</w:t>
      </w:r>
    </w:p>
    <w:p w:rsidR="005C7B71" w:rsidP="005C7B71" w:rsidRDefault="005C7B71" w14:paraId="17312D14" w14:textId="77777777">
      <w:pPr>
        <w:pStyle w:val="a7"/>
        <w:numPr>
          <w:ilvl w:val="0"/>
          <w:numId w:val="6"/>
        </w:numPr>
        <w:spacing w:line="240" w:lineRule="auto"/>
        <w:ind w:left="426"/>
        <w:rPr>
          <w:rFonts w:cstheme="minorHAnsi"/>
          <w:szCs w:val="28"/>
        </w:rPr>
      </w:pPr>
      <w:r>
        <w:rPr>
          <w:rFonts w:cstheme="minorHAnsi"/>
          <w:szCs w:val="28"/>
        </w:rPr>
        <w:t>сутність державного кредиту і умови надання державних позик підприємствам;</w:t>
      </w:r>
    </w:p>
    <w:p w:rsidR="005C7B71" w:rsidP="005C7B71" w:rsidRDefault="005C7B71" w14:paraId="549B25D1" w14:textId="77777777">
      <w:pPr>
        <w:pStyle w:val="a7"/>
        <w:numPr>
          <w:ilvl w:val="0"/>
          <w:numId w:val="6"/>
        </w:numPr>
        <w:spacing w:line="240" w:lineRule="auto"/>
        <w:ind w:left="426"/>
        <w:rPr>
          <w:rFonts w:cstheme="minorHAnsi"/>
          <w:szCs w:val="28"/>
        </w:rPr>
      </w:pPr>
      <w:r>
        <w:rPr>
          <w:rFonts w:cstheme="minorHAnsi"/>
          <w:szCs w:val="28"/>
        </w:rPr>
        <w:t>види коротко та довгострокових кредитів;</w:t>
      </w:r>
    </w:p>
    <w:p w:rsidR="005C7B71" w:rsidP="005C7B71" w:rsidRDefault="005C7B71" w14:paraId="5F069CB0" w14:textId="77777777">
      <w:pPr>
        <w:pStyle w:val="a7"/>
        <w:numPr>
          <w:ilvl w:val="0"/>
          <w:numId w:val="6"/>
        </w:numPr>
        <w:spacing w:line="240" w:lineRule="auto"/>
        <w:ind w:left="426"/>
        <w:rPr>
          <w:rFonts w:cstheme="minorHAnsi"/>
          <w:szCs w:val="28"/>
        </w:rPr>
      </w:pPr>
      <w:r>
        <w:rPr>
          <w:rFonts w:cstheme="minorHAnsi"/>
          <w:szCs w:val="28"/>
        </w:rPr>
        <w:t>засоби реструктурування проблемних запозичень;</w:t>
      </w:r>
    </w:p>
    <w:p w:rsidRPr="005C7B71" w:rsidR="005C7B71" w:rsidP="005C7B71" w:rsidRDefault="005C7B71" w14:paraId="1BB5FD02" w14:textId="77777777">
      <w:pPr>
        <w:rPr>
          <w:rFonts w:cs="Segoe UI"/>
          <w:i/>
        </w:rPr>
      </w:pPr>
      <w:r w:rsidRPr="005C7B71">
        <w:rPr>
          <w:rFonts w:cs="Segoe UI"/>
          <w:i/>
        </w:rPr>
        <w:t>вміти:</w:t>
      </w:r>
    </w:p>
    <w:p w:rsidR="005C7B71" w:rsidP="005C7B71" w:rsidRDefault="005C7B71" w14:paraId="2FB7ECE0" w14:textId="77777777">
      <w:pPr>
        <w:pStyle w:val="a7"/>
        <w:numPr>
          <w:ilvl w:val="0"/>
          <w:numId w:val="6"/>
        </w:numPr>
        <w:spacing w:line="240" w:lineRule="auto"/>
        <w:ind w:left="426"/>
        <w:rPr>
          <w:rFonts w:cstheme="minorHAnsi"/>
          <w:szCs w:val="28"/>
        </w:rPr>
      </w:pPr>
      <w:r>
        <w:rPr>
          <w:rFonts w:cstheme="minorHAnsi"/>
          <w:szCs w:val="28"/>
        </w:rPr>
        <w:t>визначати процентну ставку за кредитом;</w:t>
      </w:r>
    </w:p>
    <w:p w:rsidR="005C7B71" w:rsidP="005C7B71" w:rsidRDefault="005C7B71" w14:paraId="3E071B3A" w14:textId="77777777">
      <w:pPr>
        <w:pStyle w:val="a7"/>
        <w:numPr>
          <w:ilvl w:val="0"/>
          <w:numId w:val="6"/>
        </w:numPr>
        <w:spacing w:line="240" w:lineRule="auto"/>
        <w:ind w:left="426"/>
        <w:rPr>
          <w:rFonts w:cstheme="minorHAnsi"/>
          <w:szCs w:val="28"/>
        </w:rPr>
      </w:pPr>
      <w:r>
        <w:rPr>
          <w:rFonts w:cstheme="minorHAnsi"/>
          <w:szCs w:val="28"/>
        </w:rPr>
        <w:t>визначати кредитні ризики;</w:t>
      </w:r>
    </w:p>
    <w:p w:rsidR="005C7B71" w:rsidP="005C7B71" w:rsidRDefault="005C7B71" w14:paraId="31AC4F58" w14:textId="77777777">
      <w:pPr>
        <w:pStyle w:val="a7"/>
        <w:numPr>
          <w:ilvl w:val="0"/>
          <w:numId w:val="6"/>
        </w:numPr>
        <w:spacing w:line="240" w:lineRule="auto"/>
        <w:ind w:left="426"/>
        <w:rPr>
          <w:rFonts w:cstheme="minorHAnsi"/>
          <w:szCs w:val="28"/>
        </w:rPr>
      </w:pPr>
      <w:r>
        <w:rPr>
          <w:rFonts w:cstheme="minorHAnsi"/>
          <w:szCs w:val="28"/>
        </w:rPr>
        <w:t>визначати резерв під кредитні операції;</w:t>
      </w:r>
    </w:p>
    <w:p w:rsidR="005C7B71" w:rsidP="005C7B71" w:rsidRDefault="005C7B71" w14:paraId="3A6CC38D" w14:textId="77777777">
      <w:pPr>
        <w:pStyle w:val="a7"/>
        <w:numPr>
          <w:ilvl w:val="0"/>
          <w:numId w:val="6"/>
        </w:numPr>
        <w:spacing w:line="240" w:lineRule="auto"/>
        <w:ind w:left="426"/>
        <w:rPr>
          <w:rFonts w:cstheme="minorHAnsi"/>
          <w:szCs w:val="28"/>
        </w:rPr>
      </w:pPr>
      <w:r>
        <w:rPr>
          <w:rFonts w:cstheme="minorHAnsi"/>
          <w:szCs w:val="28"/>
        </w:rPr>
        <w:t>складати графік погашення заборгованості;</w:t>
      </w:r>
    </w:p>
    <w:p w:rsidR="005C7B71" w:rsidP="005C7B71" w:rsidRDefault="005C7B71" w14:paraId="7996D73B" w14:textId="77777777">
      <w:pPr>
        <w:pStyle w:val="a7"/>
        <w:numPr>
          <w:ilvl w:val="0"/>
          <w:numId w:val="6"/>
        </w:numPr>
        <w:spacing w:line="240" w:lineRule="auto"/>
        <w:ind w:left="426"/>
        <w:rPr>
          <w:rFonts w:cstheme="minorHAnsi"/>
          <w:szCs w:val="28"/>
        </w:rPr>
      </w:pPr>
      <w:r>
        <w:rPr>
          <w:rFonts w:cstheme="minorHAnsi"/>
          <w:szCs w:val="28"/>
        </w:rPr>
        <w:t>визначати кредитоспроможність підприємства;</w:t>
      </w:r>
    </w:p>
    <w:p w:rsidR="005C7B71" w:rsidP="005C7B71" w:rsidRDefault="005C7B71" w14:paraId="2ACBD890" w14:textId="77777777">
      <w:pPr>
        <w:pStyle w:val="a7"/>
        <w:numPr>
          <w:ilvl w:val="0"/>
          <w:numId w:val="6"/>
        </w:numPr>
        <w:spacing w:line="240" w:lineRule="auto"/>
        <w:ind w:left="426"/>
        <w:rPr>
          <w:rFonts w:cstheme="minorHAnsi"/>
          <w:szCs w:val="28"/>
        </w:rPr>
      </w:pPr>
      <w:r>
        <w:rPr>
          <w:rFonts w:cstheme="minorHAnsi"/>
          <w:szCs w:val="28"/>
        </w:rPr>
        <w:t>розраховувати ставки за короткостроковими видами кредитування підприємств;</w:t>
      </w:r>
    </w:p>
    <w:p w:rsidRPr="00944730" w:rsidR="005C7B71" w:rsidP="005C7B71" w:rsidRDefault="005C7B71" w14:paraId="693FD5F7" w14:textId="77777777">
      <w:pPr>
        <w:pStyle w:val="a7"/>
        <w:numPr>
          <w:ilvl w:val="0"/>
          <w:numId w:val="6"/>
        </w:numPr>
        <w:spacing w:line="240" w:lineRule="auto"/>
        <w:ind w:left="426"/>
        <w:rPr>
          <w:rFonts w:cstheme="minorHAnsi"/>
          <w:szCs w:val="28"/>
        </w:rPr>
      </w:pPr>
      <w:r>
        <w:rPr>
          <w:rFonts w:cstheme="minorHAnsi"/>
          <w:szCs w:val="28"/>
        </w:rPr>
        <w:t>визначати причини проблемної заборгованості та застосовувати основні методи мінімізації збитків.</w:t>
      </w:r>
    </w:p>
    <w:p w:rsidRPr="007D3387" w:rsidR="00451AC5" w:rsidP="00C2334D" w:rsidRDefault="00451AC5" w14:paraId="4101652C" w14:textId="77777777">
      <w:pPr>
        <w:pStyle w:val="2"/>
        <w:rPr>
          <w:rFonts w:cs="Segoe UI"/>
        </w:rPr>
      </w:pPr>
    </w:p>
    <w:p w:rsidRPr="007D3387" w:rsidR="002A451E" w:rsidP="00C2334D" w:rsidRDefault="002A451E" w14:paraId="5F2C0B85" w14:textId="77777777">
      <w:pPr>
        <w:pStyle w:val="2"/>
        <w:rPr>
          <w:rFonts w:cs="Segoe UI"/>
        </w:rPr>
      </w:pPr>
      <w:r w:rsidRPr="007D3387">
        <w:rPr>
          <w:rFonts w:cs="Segoe UI"/>
        </w:rPr>
        <w:t>Передумови вивчення дисципліни</w:t>
      </w:r>
    </w:p>
    <w:p w:rsidRPr="005F0577" w:rsidR="002A451E" w:rsidP="00C2334D" w:rsidRDefault="002A451E" w14:paraId="30CE834A" w14:textId="1806CEDF">
      <w:pPr>
        <w:rPr>
          <w:rFonts w:cs="Segoe UI"/>
        </w:rPr>
      </w:pPr>
      <w:r w:rsidRPr="005F0577">
        <w:rPr>
          <w:rFonts w:cs="Segoe UI"/>
        </w:rPr>
        <w:t>Знання основ</w:t>
      </w:r>
      <w:r w:rsidRPr="005F0577" w:rsidR="00DA3B95">
        <w:rPr>
          <w:rFonts w:cs="Segoe UI"/>
        </w:rPr>
        <w:t xml:space="preserve"> </w:t>
      </w:r>
      <w:r w:rsidR="00FF1EB3">
        <w:rPr>
          <w:rFonts w:cs="Segoe UI"/>
        </w:rPr>
        <w:t>Цифрові послуги та рішення для бізнесу, Сучасна економіка та бізнес-середовище організації</w:t>
      </w:r>
      <w:bookmarkStart w:name="_GoBack" w:id="0"/>
      <w:bookmarkEnd w:id="0"/>
    </w:p>
    <w:p w:rsidRPr="007D3387" w:rsidR="002A451E" w:rsidP="00C2334D" w:rsidRDefault="002A451E" w14:paraId="4B99056E" w14:textId="77777777">
      <w:pPr>
        <w:rPr>
          <w:rFonts w:cs="Segoe UI"/>
        </w:rPr>
      </w:pPr>
    </w:p>
    <w:p w:rsidRPr="007D3387" w:rsidR="00B71534" w:rsidP="00036D30" w:rsidRDefault="00036D30" w14:paraId="62DAF83E" w14:textId="77777777">
      <w:pPr>
        <w:pStyle w:val="2"/>
        <w:rPr>
          <w:rFonts w:cs="Segoe UI"/>
        </w:rPr>
      </w:pPr>
      <w:r w:rsidRPr="007D3387">
        <w:rPr>
          <w:rFonts w:cs="Segoe UI"/>
        </w:rPr>
        <w:t>Програма дисципліни</w:t>
      </w:r>
    </w:p>
    <w:p w:rsidRPr="00935289" w:rsidR="00AE1F7A" w:rsidP="00AE1F7A" w:rsidRDefault="00451AC5" w14:paraId="3EC02755" w14:textId="2501A3CD">
      <w:pPr>
        <w:rPr>
          <w:rFonts w:cs="Segoe UI"/>
          <w:i/>
          <w:color w:val="000000" w:themeColor="text1"/>
          <w:szCs w:val="30"/>
        </w:rPr>
      </w:pPr>
      <w:bookmarkStart w:name="OLE_LINK78" w:id="1"/>
      <w:bookmarkStart w:name="OLE_LINK79" w:id="2"/>
      <w:bookmarkStart w:name="OLE_LINK80" w:id="3"/>
      <w:bookmarkStart w:name="OLE_LINK81" w:id="4"/>
      <w:r w:rsidRPr="00AE1F7A">
        <w:rPr>
          <w:rFonts w:cs="Segoe UI"/>
          <w:i/>
          <w:color w:val="000000" w:themeColor="text1"/>
          <w:szCs w:val="30"/>
        </w:rPr>
        <w:t xml:space="preserve">Тема 1. </w:t>
      </w:r>
      <w:r w:rsidRPr="00935289" w:rsidR="00935289">
        <w:rPr>
          <w:rFonts w:cs="Segoe UI"/>
          <w:i/>
          <w:color w:val="000000" w:themeColor="text1"/>
          <w:szCs w:val="30"/>
        </w:rPr>
        <w:t>Кредитування підприємств</w:t>
      </w:r>
    </w:p>
    <w:p w:rsidR="00390A65" w:rsidP="00390A65" w:rsidRDefault="00935289" w14:paraId="51D2B2FF" w14:textId="7D69222C">
      <w:pPr>
        <w:pStyle w:val="a7"/>
        <w:tabs>
          <w:tab w:val="left" w:pos="284"/>
        </w:tabs>
        <w:spacing w:line="240" w:lineRule="auto"/>
        <w:ind w:left="0" w:firstLine="0"/>
        <w:rPr>
          <w:rFonts w:ascii="Segoe UI" w:hAnsi="Segoe UI"/>
          <w:sz w:val="24"/>
          <w:szCs w:val="20"/>
        </w:rPr>
      </w:pPr>
      <w:r w:rsidRPr="00935289">
        <w:rPr>
          <w:rFonts w:ascii="Segoe UI" w:hAnsi="Segoe UI"/>
          <w:sz w:val="24"/>
          <w:szCs w:val="20"/>
        </w:rPr>
        <w:t>Необхідність і сутність кредитування підприємств.</w:t>
      </w:r>
      <w:r>
        <w:t xml:space="preserve"> </w:t>
      </w:r>
      <w:r w:rsidRPr="00390A65" w:rsidR="00390A65">
        <w:rPr>
          <w:rFonts w:ascii="Segoe UI" w:hAnsi="Segoe UI" w:eastAsiaTheme="minorHAnsi"/>
          <w:sz w:val="24"/>
          <w:szCs w:val="20"/>
          <w:lang w:eastAsia="en-US"/>
        </w:rPr>
        <w:t xml:space="preserve">Кредитні відносини між банками і суб'єктами </w:t>
      </w:r>
      <w:r w:rsidRPr="00390A65" w:rsidR="00390A65">
        <w:rPr>
          <w:rFonts w:ascii="Segoe UI" w:hAnsi="Segoe UI"/>
          <w:sz w:val="24"/>
          <w:szCs w:val="20"/>
        </w:rPr>
        <w:t>господарювання та причини їх виникнення</w:t>
      </w:r>
      <w:r w:rsidRPr="00390A65">
        <w:rPr>
          <w:rFonts w:ascii="Segoe UI" w:hAnsi="Segoe UI"/>
          <w:sz w:val="24"/>
          <w:szCs w:val="20"/>
        </w:rPr>
        <w:t xml:space="preserve">. </w:t>
      </w:r>
      <w:r w:rsidRPr="00390A65" w:rsidR="00390A65">
        <w:rPr>
          <w:rFonts w:ascii="Segoe UI" w:hAnsi="Segoe UI"/>
          <w:sz w:val="24"/>
          <w:szCs w:val="20"/>
        </w:rPr>
        <w:t>Класифікація кредитів. Функції кредиту. Кредитний процес. Кредитна угода. Взаємодія суб’єктів кредитних відносин у процесі кредитування</w:t>
      </w:r>
      <w:r w:rsidR="00390A65">
        <w:rPr>
          <w:rFonts w:ascii="Segoe UI" w:hAnsi="Segoe UI"/>
          <w:sz w:val="24"/>
          <w:szCs w:val="20"/>
        </w:rPr>
        <w:t>.</w:t>
      </w:r>
    </w:p>
    <w:p w:rsidRPr="00F81F39" w:rsidR="00F81F39" w:rsidP="00F81F39" w:rsidRDefault="00390A65" w14:paraId="37CED749" w14:textId="1525D95F">
      <w:pPr>
        <w:spacing w:before="120"/>
        <w:jc w:val="left"/>
        <w:rPr>
          <w:rFonts w:cs="Segoe UI"/>
          <w:i/>
          <w:color w:val="000000" w:themeColor="text1"/>
          <w:szCs w:val="30"/>
        </w:rPr>
      </w:pPr>
      <w:r w:rsidRPr="00AE1F7A">
        <w:rPr>
          <w:rFonts w:cs="Segoe UI"/>
          <w:i/>
          <w:color w:val="000000" w:themeColor="text1"/>
          <w:szCs w:val="30"/>
        </w:rPr>
        <w:t>Тема </w:t>
      </w:r>
      <w:r>
        <w:rPr>
          <w:rFonts w:cs="Segoe UI"/>
          <w:i/>
          <w:color w:val="000000" w:themeColor="text1"/>
          <w:szCs w:val="30"/>
        </w:rPr>
        <w:t>2</w:t>
      </w:r>
      <w:r w:rsidRPr="00AE1F7A">
        <w:rPr>
          <w:rFonts w:cs="Segoe UI"/>
          <w:i/>
          <w:color w:val="000000" w:themeColor="text1"/>
          <w:szCs w:val="30"/>
        </w:rPr>
        <w:t xml:space="preserve">. </w:t>
      </w:r>
      <w:r w:rsidRPr="00F81F39" w:rsidR="00F81F39">
        <w:rPr>
          <w:rFonts w:cs="Segoe UI"/>
          <w:i/>
          <w:color w:val="000000" w:themeColor="text1"/>
          <w:szCs w:val="30"/>
        </w:rPr>
        <w:t>Кредитний ризик. Оцінка кредитоспроможності позичальника</w:t>
      </w:r>
    </w:p>
    <w:p w:rsidRPr="00EB1E81" w:rsidR="00390A65" w:rsidP="00F81F39" w:rsidRDefault="00B361A7" w14:paraId="28DB3ABD" w14:textId="3DC42662">
      <w:pPr>
        <w:spacing w:before="120"/>
        <w:rPr>
          <w:rFonts w:eastAsia="Times New Roman"/>
          <w:lang w:eastAsia="ru-RU"/>
        </w:rPr>
      </w:pPr>
      <w:r w:rsidRPr="00EB1E81">
        <w:rPr>
          <w:rFonts w:eastAsia="Times New Roman"/>
          <w:lang w:eastAsia="ru-RU"/>
        </w:rPr>
        <w:t>Кредитний ризик. Причинами виникнення кредитного ризику Методи управління кредитним ризиком. Структура кредитного ризику. Метод мінімізації кредитного ризику. Структура кредитного портфеля</w:t>
      </w:r>
      <w:r w:rsidRPr="00EB1E81" w:rsidR="00F46DD2">
        <w:rPr>
          <w:rFonts w:eastAsia="Times New Roman"/>
          <w:lang w:eastAsia="ru-RU"/>
        </w:rPr>
        <w:t xml:space="preserve">. Алгоритм механізму кредитування. Кредитоспроможність. Методики оцінки кредитоспроможності позичальника. Показники оцінки кредитоспроможності позичальника. Форми забезпечення кредитних зобов’язань. </w:t>
      </w:r>
    </w:p>
    <w:p w:rsidRPr="00EB1E81" w:rsidR="00EB1E81" w:rsidP="00EB1E81" w:rsidRDefault="00EB1E81" w14:paraId="34B7F006" w14:textId="77777777">
      <w:pPr>
        <w:spacing w:after="0"/>
        <w:rPr>
          <w:rFonts w:cs="Segoe UI"/>
          <w:bCs/>
          <w:i/>
          <w:color w:val="000000" w:themeColor="text1"/>
          <w:szCs w:val="30"/>
        </w:rPr>
      </w:pPr>
      <w:r w:rsidRPr="00EB1E81">
        <w:rPr>
          <w:rFonts w:cs="Segoe UI"/>
          <w:bCs/>
          <w:i/>
          <w:color w:val="000000" w:themeColor="text1"/>
          <w:szCs w:val="30"/>
        </w:rPr>
        <w:lastRenderedPageBreak/>
        <w:t>Тема 3 Банківське кредитування</w:t>
      </w:r>
    </w:p>
    <w:p w:rsidR="00EB1E81" w:rsidP="00EB1E81" w:rsidRDefault="00EB1E81" w14:paraId="01163FEC" w14:textId="02530845">
      <w:pPr>
        <w:spacing w:before="120"/>
        <w:rPr>
          <w:rFonts w:eastAsia="Times New Roman"/>
          <w:lang w:eastAsia="ru-RU"/>
        </w:rPr>
      </w:pPr>
      <w:r w:rsidRPr="00EB1E81">
        <w:rPr>
          <w:rFonts w:eastAsia="Times New Roman"/>
          <w:lang w:eastAsia="ru-RU"/>
        </w:rPr>
        <w:t>Банківські кредити. Класифікація видів банківських кредитів. Кредити в інвестиційну діяльність. Кредити в поточну діяльність</w:t>
      </w:r>
      <w:r>
        <w:rPr>
          <w:rFonts w:eastAsia="Times New Roman"/>
          <w:lang w:eastAsia="ru-RU"/>
        </w:rPr>
        <w:t xml:space="preserve">. </w:t>
      </w:r>
      <w:r w:rsidRPr="00EB1E81">
        <w:rPr>
          <w:rFonts w:eastAsia="Times New Roman"/>
          <w:lang w:eastAsia="ru-RU"/>
        </w:rPr>
        <w:t>Порядок видачі банківських кредитів юридичним особам.  Порядок погашення банківських кредитів юридичним особам. Обслуговування кредитної угоди.</w:t>
      </w:r>
      <w:r>
        <w:rPr>
          <w:rFonts w:eastAsia="Times New Roman"/>
          <w:lang w:eastAsia="ru-RU"/>
        </w:rPr>
        <w:t xml:space="preserve"> </w:t>
      </w:r>
      <w:r w:rsidRPr="00EB1E81">
        <w:rPr>
          <w:rFonts w:eastAsia="Times New Roman"/>
          <w:lang w:eastAsia="ru-RU"/>
        </w:rPr>
        <w:t>Форми забезпечення повернення банківських кредитів</w:t>
      </w:r>
      <w:r>
        <w:rPr>
          <w:rFonts w:eastAsia="Times New Roman"/>
          <w:lang w:eastAsia="ru-RU"/>
        </w:rPr>
        <w:t>.</w:t>
      </w:r>
    </w:p>
    <w:p w:rsidRPr="00E55D2E" w:rsidR="00E55D2E" w:rsidP="00E55D2E" w:rsidRDefault="00E55D2E" w14:paraId="4EF7EF0F" w14:textId="77777777">
      <w:pPr>
        <w:spacing w:before="120"/>
        <w:rPr>
          <w:rFonts w:cs="Segoe UI"/>
          <w:bCs/>
          <w:i/>
          <w:color w:val="000000" w:themeColor="text1"/>
          <w:szCs w:val="30"/>
        </w:rPr>
      </w:pPr>
      <w:r w:rsidRPr="00E55D2E">
        <w:rPr>
          <w:rFonts w:cs="Segoe UI"/>
          <w:bCs/>
          <w:i/>
          <w:color w:val="000000" w:themeColor="text1"/>
          <w:szCs w:val="30"/>
        </w:rPr>
        <w:t>Тема 4. Комерційний кредит</w:t>
      </w:r>
    </w:p>
    <w:p w:rsidR="00E55D2E" w:rsidP="00E55D2E" w:rsidRDefault="00E55D2E" w14:paraId="15DE1F9E" w14:textId="1F595417">
      <w:pPr>
        <w:rPr>
          <w:color w:val="000000"/>
        </w:rPr>
      </w:pPr>
      <w:r w:rsidRPr="00E55D2E">
        <w:rPr>
          <w:rFonts w:eastAsia="Times New Roman"/>
          <w:bCs/>
          <w:lang w:eastAsia="ru-RU"/>
        </w:rPr>
        <w:t>Комерційний кредит</w:t>
      </w:r>
      <w:r w:rsidRPr="00E55D2E">
        <w:rPr>
          <w:rFonts w:eastAsia="Times New Roman"/>
          <w:lang w:eastAsia="ru-RU"/>
        </w:rPr>
        <w:t>. Призначення</w:t>
      </w:r>
      <w:r>
        <w:rPr>
          <w:color w:val="000000"/>
        </w:rPr>
        <w:t xml:space="preserve"> та функції комерційного кредиту. Кредитні відносини. Переваги та вади комерційного кредиту. </w:t>
      </w:r>
      <w:r>
        <w:rPr>
          <w:color w:val="222222"/>
        </w:rPr>
        <w:t>Р</w:t>
      </w:r>
      <w:r w:rsidRPr="006000CB">
        <w:rPr>
          <w:color w:val="222222"/>
        </w:rPr>
        <w:t>ізновиди комерційного кредиту</w:t>
      </w:r>
      <w:r>
        <w:rPr>
          <w:color w:val="222222"/>
        </w:rPr>
        <w:t xml:space="preserve">. </w:t>
      </w:r>
      <w:r w:rsidRPr="00E55D2E">
        <w:rPr>
          <w:color w:val="000000"/>
        </w:rPr>
        <w:t xml:space="preserve">Вексельний кредит. Консигнація. Сезонний кредит </w:t>
      </w:r>
      <w:r>
        <w:rPr>
          <w:color w:val="000000"/>
        </w:rPr>
        <w:t>Лізинговий кредит.</w:t>
      </w:r>
      <w:r w:rsidR="002764C0">
        <w:rPr>
          <w:color w:val="000000"/>
        </w:rPr>
        <w:t xml:space="preserve"> Фінансовий лізинг. Оперативний лізинг.</w:t>
      </w:r>
    </w:p>
    <w:p w:rsidRPr="003607B1" w:rsidR="003607B1" w:rsidP="003607B1" w:rsidRDefault="003607B1" w14:paraId="0609CFA3" w14:textId="57807F73">
      <w:pPr>
        <w:spacing w:before="120"/>
        <w:rPr>
          <w:rFonts w:cs="Segoe UI"/>
          <w:bCs/>
          <w:i/>
          <w:color w:val="000000" w:themeColor="text1"/>
          <w:szCs w:val="30"/>
        </w:rPr>
      </w:pPr>
      <w:r w:rsidRPr="003607B1">
        <w:rPr>
          <w:rFonts w:cs="Segoe UI"/>
          <w:bCs/>
          <w:i/>
          <w:color w:val="000000" w:themeColor="text1"/>
          <w:szCs w:val="30"/>
        </w:rPr>
        <w:t>Тема 5. Державний кредит і державний борг</w:t>
      </w:r>
      <w:r>
        <w:rPr>
          <w:rFonts w:cs="Segoe UI"/>
          <w:bCs/>
          <w:i/>
          <w:color w:val="000000" w:themeColor="text1"/>
          <w:szCs w:val="30"/>
        </w:rPr>
        <w:t xml:space="preserve"> </w:t>
      </w:r>
    </w:p>
    <w:p w:rsidR="003607B1" w:rsidP="001A10AB" w:rsidRDefault="003607B1" w14:paraId="454C753B" w14:textId="2862D0DE">
      <w:pPr>
        <w:shd w:val="clear" w:color="auto" w:fill="FFFFFF"/>
        <w:rPr>
          <w:szCs w:val="24"/>
          <w:lang w:eastAsia="ru-RU"/>
        </w:rPr>
      </w:pPr>
      <w:r>
        <w:rPr>
          <w:color w:val="000000"/>
        </w:rPr>
        <w:t xml:space="preserve">Державний кредит. Форми державного кредиту. </w:t>
      </w:r>
      <w:r w:rsidRPr="003607B1">
        <w:rPr>
          <w:color w:val="000000"/>
        </w:rPr>
        <w:t>Ознаки державних позик. Передумови використання державних позик. Чинники, на яких ґрунтуються державні позики</w:t>
      </w:r>
      <w:r>
        <w:rPr>
          <w:color w:val="000000"/>
        </w:rPr>
        <w:t xml:space="preserve">. Управління державним боргом. Джерела погашення </w:t>
      </w:r>
      <w:r w:rsidRPr="00F63A69">
        <w:t>внутрішнього</w:t>
      </w:r>
      <w:r w:rsidRPr="00F63A69">
        <w:rPr>
          <w:spacing w:val="1"/>
        </w:rPr>
        <w:t xml:space="preserve"> </w:t>
      </w:r>
      <w:r w:rsidRPr="00F63A69">
        <w:t>боргу</w:t>
      </w:r>
      <w:r>
        <w:t xml:space="preserve">. </w:t>
      </w:r>
      <w:r w:rsidRPr="00AB1B55">
        <w:rPr>
          <w:szCs w:val="24"/>
          <w:lang w:eastAsia="ru-RU"/>
        </w:rPr>
        <w:t>Механізм надання бюджетних позик підприємствам</w:t>
      </w:r>
      <w:r>
        <w:rPr>
          <w:szCs w:val="24"/>
          <w:lang w:eastAsia="ru-RU"/>
        </w:rPr>
        <w:t xml:space="preserve">. </w:t>
      </w:r>
      <w:r w:rsidRPr="00AB1B55">
        <w:rPr>
          <w:szCs w:val="24"/>
          <w:lang w:eastAsia="ru-RU"/>
        </w:rPr>
        <w:t>Кредити за рахунок коштів Державного позабюджетного фонду приватизації</w:t>
      </w:r>
      <w:r>
        <w:rPr>
          <w:szCs w:val="24"/>
          <w:lang w:eastAsia="ru-RU"/>
        </w:rPr>
        <w:t xml:space="preserve">. </w:t>
      </w:r>
    </w:p>
    <w:p w:rsidRPr="00041F21" w:rsidR="003607B1" w:rsidP="00041F21" w:rsidRDefault="003607B1" w14:paraId="0A6667D8" w14:textId="77777777">
      <w:pPr>
        <w:spacing w:before="120"/>
        <w:rPr>
          <w:i/>
          <w:color w:val="000000"/>
        </w:rPr>
      </w:pPr>
      <w:r w:rsidRPr="00041F21">
        <w:rPr>
          <w:i/>
          <w:color w:val="000000"/>
        </w:rPr>
        <w:t>Тема 6. Коротко та довгострокове кредитування суб`єктів господарювання</w:t>
      </w:r>
    </w:p>
    <w:p w:rsidRPr="00041F21" w:rsidR="003607B1" w:rsidP="00041F21" w:rsidRDefault="00041F21" w14:paraId="15AA7C46" w14:textId="24631DEC">
      <w:pPr>
        <w:autoSpaceDE w:val="0"/>
        <w:autoSpaceDN w:val="0"/>
        <w:adjustRightInd w:val="0"/>
        <w:spacing w:after="0"/>
        <w:rPr>
          <w:color w:val="000000"/>
        </w:rPr>
      </w:pPr>
      <w:r w:rsidRPr="00041F21">
        <w:rPr>
          <w:color w:val="000000"/>
        </w:rPr>
        <w:t xml:space="preserve">Кредити у поточну діяльність: овердрафт, операції РЕПО, вексельний обіг, факторинг, кредити за внутрішніми торговельними операціями, кредити за експортно-імпортними операціями. Довгострокове кредитування суб’єктів господарювання в інвестиційну діяльність. Кредити в інвестиційну діяльність: </w:t>
      </w:r>
      <w:r w:rsidRPr="00E87EC0">
        <w:t>кредити на будівництво і освоєння землі</w:t>
      </w:r>
      <w:r>
        <w:t xml:space="preserve">,  </w:t>
      </w:r>
      <w:r w:rsidRPr="00E87EC0">
        <w:t xml:space="preserve">кредити на купівлю будинків, споруд, обладнання та </w:t>
      </w:r>
      <w:r>
        <w:t xml:space="preserve">землі, </w:t>
      </w:r>
      <w:r w:rsidRPr="00E87EC0">
        <w:t>фінансовий лізинг</w:t>
      </w:r>
      <w:r>
        <w:t xml:space="preserve">. </w:t>
      </w:r>
      <w:r w:rsidRPr="00041F21">
        <w:rPr>
          <w:color w:val="000000"/>
        </w:rPr>
        <w:t>Джерела коштів для довгострокового кредитування. Особливості довгострокового кредитування.</w:t>
      </w:r>
      <w:r>
        <w:rPr>
          <w:color w:val="000000"/>
        </w:rPr>
        <w:t xml:space="preserve"> К</w:t>
      </w:r>
      <w:r w:rsidRPr="00041F21">
        <w:rPr>
          <w:color w:val="000000"/>
        </w:rPr>
        <w:t>редитування фізичних осіб на споживчі потреби</w:t>
      </w:r>
      <w:r>
        <w:rPr>
          <w:color w:val="000000"/>
        </w:rPr>
        <w:t xml:space="preserve">. </w:t>
      </w:r>
    </w:p>
    <w:p w:rsidRPr="00706596" w:rsidR="00706596" w:rsidP="00706596" w:rsidRDefault="00706596" w14:paraId="30BBD590" w14:textId="77777777">
      <w:pPr>
        <w:spacing w:before="120"/>
        <w:rPr>
          <w:i/>
          <w:color w:val="000000"/>
        </w:rPr>
      </w:pPr>
      <w:r w:rsidRPr="00706596">
        <w:rPr>
          <w:i/>
          <w:color w:val="000000"/>
        </w:rPr>
        <w:t>Тема 7. Проблемні та безнадійні борги</w:t>
      </w:r>
    </w:p>
    <w:bookmarkEnd w:id="1"/>
    <w:bookmarkEnd w:id="2"/>
    <w:bookmarkEnd w:id="3"/>
    <w:bookmarkEnd w:id="4"/>
    <w:p w:rsidRPr="006D5FA9" w:rsidR="006D5FA9" w:rsidP="006D5FA9" w:rsidRDefault="006D5FA9" w14:paraId="32F7B7CC" w14:textId="77777777">
      <w:pPr>
        <w:rPr>
          <w:color w:val="000000"/>
        </w:rPr>
      </w:pPr>
      <w:r w:rsidRPr="006D5FA9">
        <w:rPr>
          <w:color w:val="000000"/>
        </w:rPr>
        <w:t xml:space="preserve">Застава. Гарантія. Поручительство. </w:t>
      </w:r>
      <w:proofErr w:type="spellStart"/>
      <w:r w:rsidRPr="006D5FA9">
        <w:rPr>
          <w:color w:val="000000"/>
        </w:rPr>
        <w:t>Цесія</w:t>
      </w:r>
      <w:proofErr w:type="spellEnd"/>
      <w:r w:rsidRPr="006D5FA9">
        <w:rPr>
          <w:color w:val="000000"/>
        </w:rPr>
        <w:t>. Страхування відповідальності та фінансових ризиків. Проблемні позики та система моніторингу за проблемною заборгованістю.  Етапи роботи з проблемною заборгованістю юридичних осіб.</w:t>
      </w:r>
    </w:p>
    <w:p w:rsidR="00027139" w:rsidP="00027139" w:rsidRDefault="00027139" w14:paraId="69E2FDD3" w14:textId="77777777">
      <w:pPr>
        <w:pStyle w:val="2"/>
        <w:spacing w:after="0"/>
        <w:rPr>
          <w:rFonts w:cs="Segoe UI"/>
        </w:rPr>
      </w:pPr>
    </w:p>
    <w:p w:rsidRPr="007D3387" w:rsidR="003F1A8C" w:rsidP="003F1A8C" w:rsidRDefault="003F1A8C" w14:paraId="4C5FDC32" w14:textId="77777777">
      <w:pPr>
        <w:pStyle w:val="2"/>
        <w:rPr>
          <w:rFonts w:cs="Segoe UI"/>
        </w:rPr>
      </w:pPr>
      <w:r w:rsidRPr="007D3387">
        <w:rPr>
          <w:rFonts w:cs="Segoe UI"/>
        </w:rPr>
        <w:t xml:space="preserve">Особливості </w:t>
      </w:r>
      <w:r w:rsidRPr="007D3387" w:rsidR="00756AF0">
        <w:rPr>
          <w:rFonts w:cs="Segoe UI"/>
        </w:rPr>
        <w:t xml:space="preserve">та політики </w:t>
      </w:r>
      <w:r w:rsidRPr="007D3387">
        <w:rPr>
          <w:rFonts w:cs="Segoe UI"/>
        </w:rPr>
        <w:t>дисципліни</w:t>
      </w:r>
    </w:p>
    <w:p w:rsidRPr="00566B6A" w:rsidR="000F547D" w:rsidP="000F547D" w:rsidRDefault="000F547D" w14:paraId="5C8E5B89" w14:textId="77777777">
      <w:r>
        <w:t xml:space="preserve">Навчання організовано на </w:t>
      </w:r>
      <w:hyperlink w:history="1" r:id="rId15">
        <w:r w:rsidRPr="008F6787">
          <w:rPr>
            <w:rStyle w:val="a3"/>
          </w:rPr>
          <w:t>Порталі навчальних ресурсів Коледжу</w:t>
        </w:r>
      </w:hyperlink>
      <w:r>
        <w:t xml:space="preserve">. </w:t>
      </w:r>
      <w:r w:rsidRPr="00566B6A">
        <w:t>Обов’язковим є дотримання вимог та умов праці в освітньому середовищі, норм навчальної дисципліни та правил етичної поведінки. Зворотній зв’язок між здобувачем освіти та викладачем відбувається засобами інтерактивного дистанційного курсу. Можлив</w:t>
      </w:r>
      <w:r>
        <w:t>им є</w:t>
      </w:r>
      <w:r w:rsidRPr="00566B6A">
        <w:t xml:space="preserve"> отримання індивідуальних консультацій викладача.</w:t>
      </w:r>
    </w:p>
    <w:p w:rsidR="000F547D" w:rsidP="000F547D" w:rsidRDefault="000F547D" w14:paraId="5C5A843D" w14:textId="77777777">
      <w:r>
        <w:t xml:space="preserve">Передбачається </w:t>
      </w:r>
      <w:r w:rsidRPr="003629B3">
        <w:t xml:space="preserve">обов’язкове дотримання </w:t>
      </w:r>
      <w:r>
        <w:t xml:space="preserve">здобувачами освіти </w:t>
      </w:r>
      <w:r w:rsidRPr="003629B3">
        <w:t xml:space="preserve">академічної доброчесності, а саме: </w:t>
      </w:r>
      <w:r>
        <w:t xml:space="preserve">1) </w:t>
      </w:r>
      <w:r w:rsidRPr="003629B3">
        <w:t xml:space="preserve">самостійне виконання всіх видів робіт, завдань, форм контролю, передбачених програмою дисципліни; </w:t>
      </w:r>
      <w:r>
        <w:t xml:space="preserve">2) </w:t>
      </w:r>
      <w:r w:rsidRPr="003629B3">
        <w:t xml:space="preserve">посилання на джерела інформації у разі використання ідей, розробок, тверджень, відомостей; </w:t>
      </w:r>
      <w:r>
        <w:t xml:space="preserve">3) </w:t>
      </w:r>
      <w:r w:rsidRPr="003629B3">
        <w:t xml:space="preserve">дотримання норм </w:t>
      </w:r>
      <w:r w:rsidRPr="003629B3">
        <w:lastRenderedPageBreak/>
        <w:t xml:space="preserve">законодавства про авторське право і суміжні права; </w:t>
      </w:r>
      <w:r>
        <w:t xml:space="preserve">4) </w:t>
      </w:r>
      <w:r w:rsidRPr="003629B3">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Pr="007D3387" w:rsidR="003F1A8C" w:rsidP="001A0D6C" w:rsidRDefault="00333DFA" w14:paraId="29D6B04F" w14:textId="77777777">
      <w:pPr>
        <w:rPr>
          <w:rFonts w:cs="Segoe UI"/>
          <w:b/>
          <w:caps/>
        </w:rPr>
      </w:pPr>
      <w:r w:rsidRPr="007D3387">
        <w:rPr>
          <w:rFonts w:cs="Segoe UI"/>
        </w:rPr>
        <w:t xml:space="preserve"> </w:t>
      </w:r>
    </w:p>
    <w:p w:rsidRPr="007D3387" w:rsidR="001B42A3" w:rsidP="001B42A3" w:rsidRDefault="001B42A3" w14:paraId="5883FB00" w14:textId="77777777">
      <w:pPr>
        <w:pStyle w:val="2"/>
        <w:rPr>
          <w:rFonts w:cs="Segoe UI"/>
        </w:rPr>
      </w:pPr>
      <w:r w:rsidRPr="007D3387">
        <w:rPr>
          <w:rFonts w:cs="Segoe UI"/>
        </w:rPr>
        <w:t>Форми та методи оцінювання</w:t>
      </w:r>
    </w:p>
    <w:p w:rsidRPr="00C15855" w:rsidR="001D7641" w:rsidP="001D7641" w:rsidRDefault="001D7641" w14:paraId="551C9E75" w14:textId="3821FE2C">
      <w:r w:rsidRPr="00C15855">
        <w:t>Оцінювання результатів навчання студентів здійснюється за 100-бал</w:t>
      </w:r>
      <w:r w:rsidRPr="005A31E0" w:rsidR="005A31E0">
        <w:t xml:space="preserve">ьною </w:t>
      </w:r>
      <w:r w:rsidR="006D5FA9">
        <w:t>ш</w:t>
      </w:r>
      <w:r w:rsidRPr="00C15855">
        <w:t xml:space="preserve">калою відповідно до діючого </w:t>
      </w:r>
      <w:r w:rsidRPr="0090675A">
        <w:t xml:space="preserve">Положення про оцінювання результатів навчання </w:t>
      </w:r>
      <w:r>
        <w:t>здобувачів освіти</w:t>
      </w:r>
      <w:r w:rsidRPr="00C15855">
        <w:rPr>
          <w:color w:val="1F497D" w:themeColor="text2"/>
        </w:rPr>
        <w:t>.</w:t>
      </w:r>
      <w:r w:rsidRPr="00C15855">
        <w:t xml:space="preserve"> </w:t>
      </w:r>
    </w:p>
    <w:p w:rsidRPr="009B67EB" w:rsidR="001D7641" w:rsidP="001D7641" w:rsidRDefault="001D7641" w14:paraId="45F7CB31" w14:textId="77777777">
      <w:r w:rsidRPr="009B67EB">
        <w:t>Форма контролю: залік</w:t>
      </w:r>
      <w:r>
        <w:t xml:space="preserve">, </w:t>
      </w:r>
      <w:r w:rsidRPr="00BC1C7E">
        <w:t>що полягає в оцінюванні набутих здобувачем освіти результатів навчання за освітнім компонентом на підставі результатів поточної успішності протягом семестру та виконаних ним навчальних завдань (як аудиторних, так і під час самостійної роботи), визначених програмою.</w:t>
      </w:r>
    </w:p>
    <w:p w:rsidRPr="00C15855" w:rsidR="000F547D" w:rsidP="000F547D" w:rsidRDefault="001D7641" w14:paraId="4B3E65B7" w14:textId="40E5B3D1">
      <w:r w:rsidRPr="00995FCD">
        <w:t>Види завдань:</w:t>
      </w:r>
      <w:r>
        <w:t xml:space="preserve"> </w:t>
      </w:r>
      <w:r w:rsidRPr="00C15855" w:rsidR="000F547D">
        <w:t xml:space="preserve">1) опрацювання </w:t>
      </w:r>
      <w:r w:rsidR="000F547D">
        <w:t xml:space="preserve">лекційного матеріалу; </w:t>
      </w:r>
      <w:r w:rsidRPr="00C15855" w:rsidR="000F547D">
        <w:t xml:space="preserve">2) </w:t>
      </w:r>
      <w:r w:rsidRPr="00844E36" w:rsidR="00844E36">
        <w:t>дослідження та аналіз особливостей, закономірностей та механізмів процесу банківського кредитуванн</w:t>
      </w:r>
      <w:r w:rsidR="00844E36">
        <w:t>я, а також виникнення ризиків, що супроводжують кредитну діяльність банківських установ</w:t>
      </w:r>
      <w:r w:rsidRPr="00C15855" w:rsidR="000F547D">
        <w:t>; 3) поточне тестування.</w:t>
      </w:r>
    </w:p>
    <w:p w:rsidRPr="007D3387" w:rsidR="001D7641" w:rsidP="001E53FA" w:rsidRDefault="001D7641" w14:paraId="04F6E45B" w14:textId="7226880E">
      <w:pPr>
        <w:rPr>
          <w:rFonts w:cs="Segoe UI"/>
        </w:rPr>
      </w:pPr>
      <w:r w:rsidRPr="00C15855">
        <w:t>Мінімальна загальна кількість балів для отримання позитивної оцінки з дисципліни – 60.</w:t>
      </w:r>
    </w:p>
    <w:p w:rsidRPr="007D3387" w:rsidR="002652D3" w:rsidP="001B42A3" w:rsidRDefault="002652D3" w14:paraId="4DDBEF00" w14:textId="77777777">
      <w:pPr>
        <w:rPr>
          <w:rFonts w:cs="Segoe UI"/>
        </w:rPr>
      </w:pPr>
    </w:p>
    <w:p w:rsidRPr="007D3387" w:rsidR="00983C8C" w:rsidP="00983C8C" w:rsidRDefault="00983C8C" w14:paraId="79B5CCE7" w14:textId="77777777">
      <w:pPr>
        <w:pStyle w:val="2"/>
        <w:rPr>
          <w:rFonts w:cs="Segoe UI"/>
        </w:rPr>
      </w:pPr>
      <w:r w:rsidRPr="007D3387">
        <w:rPr>
          <w:rFonts w:cs="Segoe UI"/>
        </w:rPr>
        <w:t>Рекомендовані джерела інформації</w:t>
      </w:r>
    </w:p>
    <w:p w:rsidRPr="00210206" w:rsidR="00307CC8" w:rsidP="00307CC8" w:rsidRDefault="00307CC8" w14:paraId="64543F24" w14:textId="77777777">
      <w:pPr>
        <w:pStyle w:val="ad"/>
        <w:spacing w:before="0" w:beforeAutospacing="0" w:after="0" w:afterAutospacing="0"/>
        <w:jc w:val="both"/>
        <w:rPr>
          <w:rFonts w:ascii="Segoe UI" w:hAnsi="Segoe UI" w:eastAsiaTheme="minorHAnsi"/>
          <w:szCs w:val="20"/>
          <w:lang w:val="uk-UA" w:eastAsia="en-US"/>
        </w:rPr>
      </w:pPr>
      <w:r w:rsidRPr="00210206">
        <w:rPr>
          <w:rFonts w:ascii="Segoe UI" w:hAnsi="Segoe UI" w:eastAsiaTheme="minorHAnsi"/>
          <w:szCs w:val="20"/>
          <w:lang w:val="uk-UA" w:eastAsia="en-US"/>
        </w:rPr>
        <w:t xml:space="preserve">1. Про банки і банківську діяльність: Закон України від 07 груд. 2000 р. №2121-III. Дата оновлення: 01.04.2023. URL: </w:t>
      </w:r>
      <w:hyperlink w:history="1" w:anchor="Text" r:id="rId16">
        <w:r w:rsidRPr="00210206">
          <w:rPr>
            <w:rFonts w:ascii="Segoe UI" w:hAnsi="Segoe UI" w:eastAsiaTheme="minorHAnsi"/>
            <w:szCs w:val="20"/>
            <w:lang w:val="uk-UA" w:eastAsia="en-US"/>
          </w:rPr>
          <w:t>https://zakon.rada.gov.ua/laws/show/2121-14/ed20221001#Text</w:t>
        </w:r>
      </w:hyperlink>
    </w:p>
    <w:p w:rsidRPr="00210206" w:rsidR="000F547D" w:rsidP="00307CC8" w:rsidRDefault="00307CC8" w14:paraId="3EBC8F0C" w14:textId="1CD445D4">
      <w:pPr>
        <w:pStyle w:val="ad"/>
        <w:spacing w:before="0" w:beforeAutospacing="0" w:after="0" w:afterAutospacing="0"/>
        <w:jc w:val="both"/>
        <w:rPr>
          <w:rFonts w:ascii="Segoe UI" w:hAnsi="Segoe UI" w:eastAsiaTheme="minorHAnsi"/>
          <w:szCs w:val="20"/>
          <w:lang w:val="uk-UA" w:eastAsia="en-US"/>
        </w:rPr>
      </w:pPr>
      <w:r w:rsidRPr="00210206">
        <w:rPr>
          <w:rFonts w:ascii="Segoe UI" w:hAnsi="Segoe UI" w:eastAsiaTheme="minorHAnsi"/>
          <w:szCs w:val="20"/>
          <w:lang w:val="uk-UA" w:eastAsia="en-US"/>
        </w:rPr>
        <w:t>2</w:t>
      </w:r>
      <w:r w:rsidRPr="00210206" w:rsidR="000F547D">
        <w:rPr>
          <w:rFonts w:ascii="Segoe UI" w:hAnsi="Segoe UI" w:eastAsiaTheme="minorHAnsi"/>
          <w:szCs w:val="20"/>
          <w:lang w:val="uk-UA" w:eastAsia="en-US"/>
        </w:rPr>
        <w:t xml:space="preserve">. </w:t>
      </w:r>
      <w:hyperlink w:history="1" r:id="rId17">
        <w:r w:rsidRPr="00210206" w:rsidR="001E1DD5">
          <w:rPr>
            <w:rFonts w:ascii="Segoe UI" w:hAnsi="Segoe UI" w:eastAsiaTheme="minorHAnsi"/>
            <w:szCs w:val="20"/>
            <w:lang w:eastAsia="en-US"/>
          </w:rPr>
          <w:t xml:space="preserve">Економіка підприємства : </w:t>
        </w:r>
        <w:proofErr w:type="spellStart"/>
        <w:r w:rsidRPr="00210206" w:rsidR="001E1DD5">
          <w:rPr>
            <w:rFonts w:ascii="Segoe UI" w:hAnsi="Segoe UI" w:eastAsiaTheme="minorHAnsi"/>
            <w:szCs w:val="20"/>
            <w:lang w:eastAsia="en-US"/>
          </w:rPr>
          <w:t>підручник</w:t>
        </w:r>
        <w:proofErr w:type="spellEnd"/>
        <w:r w:rsidRPr="00210206" w:rsidR="001E1DD5">
          <w:rPr>
            <w:rFonts w:ascii="Segoe UI" w:hAnsi="Segoe UI" w:eastAsiaTheme="minorHAnsi"/>
            <w:szCs w:val="20"/>
            <w:lang w:eastAsia="en-US"/>
          </w:rPr>
          <w:t xml:space="preserve"> / </w:t>
        </w:r>
        <w:proofErr w:type="spellStart"/>
        <w:r w:rsidRPr="00210206" w:rsidR="001E1DD5">
          <w:rPr>
            <w:rFonts w:ascii="Segoe UI" w:hAnsi="Segoe UI" w:eastAsiaTheme="minorHAnsi"/>
            <w:szCs w:val="20"/>
            <w:lang w:eastAsia="en-US"/>
          </w:rPr>
          <w:t>під</w:t>
        </w:r>
        <w:proofErr w:type="spellEnd"/>
        <w:r w:rsidRPr="00210206" w:rsidR="001E1DD5">
          <w:rPr>
            <w:rFonts w:ascii="Segoe UI" w:hAnsi="Segoe UI" w:eastAsiaTheme="minorHAnsi"/>
            <w:szCs w:val="20"/>
            <w:lang w:eastAsia="en-US"/>
          </w:rPr>
          <w:t xml:space="preserve"> </w:t>
        </w:r>
        <w:proofErr w:type="spellStart"/>
        <w:r w:rsidRPr="00210206" w:rsidR="001E1DD5">
          <w:rPr>
            <w:rFonts w:ascii="Segoe UI" w:hAnsi="Segoe UI" w:eastAsiaTheme="minorHAnsi"/>
            <w:szCs w:val="20"/>
            <w:lang w:eastAsia="en-US"/>
          </w:rPr>
          <w:t>заг</w:t>
        </w:r>
        <w:proofErr w:type="spellEnd"/>
        <w:r w:rsidRPr="00210206" w:rsidR="001E1DD5">
          <w:rPr>
            <w:rFonts w:ascii="Segoe UI" w:hAnsi="Segoe UI" w:eastAsiaTheme="minorHAnsi"/>
            <w:szCs w:val="20"/>
            <w:lang w:eastAsia="en-US"/>
          </w:rPr>
          <w:t xml:space="preserve">. ред. </w:t>
        </w:r>
        <w:proofErr w:type="spellStart"/>
        <w:r w:rsidRPr="00210206" w:rsidR="001E1DD5">
          <w:rPr>
            <w:rFonts w:ascii="Segoe UI" w:hAnsi="Segoe UI" w:eastAsiaTheme="minorHAnsi"/>
            <w:szCs w:val="20"/>
            <w:lang w:eastAsia="en-US"/>
          </w:rPr>
          <w:t>д.е.н</w:t>
        </w:r>
        <w:proofErr w:type="spellEnd"/>
        <w:r w:rsidRPr="00210206" w:rsidR="001E1DD5">
          <w:rPr>
            <w:rFonts w:ascii="Segoe UI" w:hAnsi="Segoe UI" w:eastAsiaTheme="minorHAnsi"/>
            <w:szCs w:val="20"/>
            <w:lang w:eastAsia="en-US"/>
          </w:rPr>
          <w:t xml:space="preserve">., проф. Ковальської Л.Л. та проф. </w:t>
        </w:r>
        <w:proofErr w:type="spellStart"/>
        <w:r w:rsidRPr="00210206" w:rsidR="001E1DD5">
          <w:rPr>
            <w:rFonts w:ascii="Segoe UI" w:hAnsi="Segoe UI" w:eastAsiaTheme="minorHAnsi"/>
            <w:szCs w:val="20"/>
            <w:lang w:eastAsia="en-US"/>
          </w:rPr>
          <w:t>Кривов’язюка</w:t>
        </w:r>
        <w:proofErr w:type="spellEnd"/>
        <w:r w:rsidRPr="00210206" w:rsidR="001E1DD5">
          <w:rPr>
            <w:rFonts w:ascii="Segoe UI" w:hAnsi="Segoe UI" w:eastAsiaTheme="minorHAnsi"/>
            <w:szCs w:val="20"/>
            <w:lang w:eastAsia="en-US"/>
          </w:rPr>
          <w:t xml:space="preserve"> І.В. </w:t>
        </w:r>
        <w:proofErr w:type="spellStart"/>
        <w:r w:rsidRPr="00210206" w:rsidR="001E1DD5">
          <w:rPr>
            <w:rFonts w:ascii="Segoe UI" w:hAnsi="Segoe UI" w:eastAsiaTheme="minorHAnsi"/>
            <w:szCs w:val="20"/>
            <w:lang w:eastAsia="en-US"/>
          </w:rPr>
          <w:t>Київ</w:t>
        </w:r>
        <w:proofErr w:type="spellEnd"/>
        <w:r w:rsidRPr="00210206" w:rsidR="001E1DD5">
          <w:rPr>
            <w:rFonts w:ascii="Segoe UI" w:hAnsi="Segoe UI" w:eastAsiaTheme="minorHAnsi"/>
            <w:szCs w:val="20"/>
            <w:lang w:eastAsia="en-US"/>
          </w:rPr>
          <w:t xml:space="preserve"> : Видавничий дім «Кондор», 2020. 700 с.</w:t>
        </w:r>
      </w:hyperlink>
      <w:r w:rsidRPr="00210206" w:rsidR="005B575D">
        <w:rPr>
          <w:rFonts w:ascii="Segoe UI" w:hAnsi="Segoe UI" w:eastAsiaTheme="minorHAnsi"/>
          <w:szCs w:val="20"/>
          <w:lang w:eastAsia="en-US"/>
        </w:rPr>
        <w:t xml:space="preserve"> </w:t>
      </w:r>
    </w:p>
    <w:p w:rsidRPr="00307CC8" w:rsidR="00DD1C3C" w:rsidP="00307CC8" w:rsidRDefault="00307CC8" w14:paraId="2B3D4F80" w14:textId="16879DE0">
      <w:pPr>
        <w:spacing w:after="0"/>
      </w:pPr>
      <w:r>
        <w:t>3</w:t>
      </w:r>
      <w:r w:rsidRPr="00307CC8" w:rsidR="00027139">
        <w:t>.</w:t>
      </w:r>
      <w:r w:rsidRPr="00307CC8">
        <w:t xml:space="preserve"> </w:t>
      </w:r>
      <w:hyperlink w:history="1" r:id="rId18">
        <w:r w:rsidRPr="00210206" w:rsidR="00027139">
          <w:t>Банківська система : навчальний посібник Ситник Н.С. та ін. Львів : ЛНУ імені Івана Франка, 2020.  580 с.</w:t>
        </w:r>
      </w:hyperlink>
      <w:r w:rsidR="005B575D">
        <w:t xml:space="preserve"> </w:t>
      </w:r>
    </w:p>
    <w:p w:rsidRPr="00210206" w:rsidR="00027139" w:rsidP="00307CC8" w:rsidRDefault="00307CC8" w14:paraId="593DE4CD" w14:textId="6BC05544">
      <w:pPr>
        <w:spacing w:after="0"/>
      </w:pPr>
      <w:r>
        <w:t>4</w:t>
      </w:r>
      <w:r w:rsidRPr="00307CC8" w:rsidR="00027139">
        <w:t xml:space="preserve">. </w:t>
      </w:r>
      <w:hyperlink w:history="1" r:id="rId19">
        <w:r w:rsidRPr="00210206" w:rsidR="00D134AB">
          <w:t xml:space="preserve">Фінанси підприємств : підручник / В. В. </w:t>
        </w:r>
        <w:proofErr w:type="spellStart"/>
        <w:r w:rsidRPr="00210206" w:rsidR="00D134AB">
          <w:t>Сокуренко</w:t>
        </w:r>
        <w:proofErr w:type="spellEnd"/>
        <w:r w:rsidRPr="00210206" w:rsidR="00D134AB">
          <w:t xml:space="preserve">, Д. В. Швець, С. М. Бортник, С. О. Ткаченко ; за </w:t>
        </w:r>
        <w:proofErr w:type="spellStart"/>
        <w:r w:rsidRPr="00210206" w:rsidR="00D134AB">
          <w:t>заг</w:t>
        </w:r>
        <w:proofErr w:type="spellEnd"/>
        <w:r w:rsidRPr="00210206" w:rsidR="00D134AB">
          <w:t xml:space="preserve">. ред. В. В. </w:t>
        </w:r>
        <w:proofErr w:type="spellStart"/>
        <w:r w:rsidRPr="00210206" w:rsidR="00D134AB">
          <w:t>Сокуренка</w:t>
        </w:r>
        <w:proofErr w:type="spellEnd"/>
        <w:r w:rsidRPr="00210206" w:rsidR="00D134AB">
          <w:t xml:space="preserve">. – 2-ге вид., </w:t>
        </w:r>
        <w:proofErr w:type="spellStart"/>
        <w:r w:rsidRPr="00210206" w:rsidR="00D134AB">
          <w:t>допов</w:t>
        </w:r>
        <w:proofErr w:type="spellEnd"/>
        <w:r w:rsidRPr="00210206" w:rsidR="00D134AB">
          <w:t>. та перероб. – Харків : ХНУВС, 2022.  292 с.</w:t>
        </w:r>
      </w:hyperlink>
      <w:r w:rsidRPr="00210206" w:rsidR="005B575D">
        <w:t xml:space="preserve"> </w:t>
      </w:r>
    </w:p>
    <w:p w:rsidRPr="00210206" w:rsidR="00027139" w:rsidP="00210206" w:rsidRDefault="00307CC8" w14:paraId="494C55CC" w14:textId="0478F71A">
      <w:pPr>
        <w:spacing w:after="0"/>
      </w:pPr>
      <w:r w:rsidRPr="00210206">
        <w:t xml:space="preserve">5. </w:t>
      </w:r>
      <w:hyperlink w:history="1" r:id="rId20">
        <w:r w:rsidRPr="00210206" w:rsidR="00A07A02">
          <w:t xml:space="preserve">Банківський менеджмент / </w:t>
        </w:r>
        <w:proofErr w:type="spellStart"/>
        <w:r w:rsidRPr="00210206" w:rsidR="00A07A02">
          <w:t>Зянько</w:t>
        </w:r>
        <w:proofErr w:type="spellEnd"/>
        <w:r w:rsidRPr="00210206" w:rsidR="00A07A02">
          <w:t xml:space="preserve"> В. В. та ін.  3-те вид., </w:t>
        </w:r>
        <w:proofErr w:type="spellStart"/>
        <w:r w:rsidRPr="00210206" w:rsidR="00A07A02">
          <w:t>доп</w:t>
        </w:r>
        <w:proofErr w:type="spellEnd"/>
        <w:r w:rsidRPr="00210206" w:rsidR="00A07A02">
          <w:t xml:space="preserve">.  </w:t>
        </w:r>
        <w:r w:rsidRPr="00210206" w:rsidR="005B575D">
          <w:t>Вінниця : ВНТУ, 2018</w:t>
        </w:r>
        <w:r w:rsidRPr="00210206" w:rsidR="00A07A02">
          <w:t>. 170 с.</w:t>
        </w:r>
      </w:hyperlink>
    </w:p>
    <w:sectPr w:rsidRPr="00210206" w:rsidR="00027139" w:rsidSect="00212C2C">
      <w:pgSz w:w="11906" w:h="16838" w:orient="portrait" w:code="9"/>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AE" w:rsidP="009B22AA" w:rsidRDefault="00B764AE" w14:paraId="01AE109D" w14:textId="77777777">
      <w:pPr>
        <w:spacing w:after="0"/>
      </w:pPr>
      <w:r>
        <w:separator/>
      </w:r>
    </w:p>
  </w:endnote>
  <w:endnote w:type="continuationSeparator" w:id="0">
    <w:p w:rsidR="00B764AE" w:rsidP="009B22AA" w:rsidRDefault="00B764AE" w14:paraId="1B7FB3D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AE" w:rsidP="009B22AA" w:rsidRDefault="00B764AE" w14:paraId="33556D55" w14:textId="77777777">
      <w:pPr>
        <w:spacing w:after="0"/>
      </w:pPr>
      <w:r>
        <w:separator/>
      </w:r>
    </w:p>
  </w:footnote>
  <w:footnote w:type="continuationSeparator" w:id="0">
    <w:p w:rsidR="00B764AE" w:rsidP="009B22AA" w:rsidRDefault="00B764AE" w14:paraId="71BC5D97" w14:textId="777777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2B10"/>
    <w:multiLevelType w:val="hybridMultilevel"/>
    <w:tmpl w:val="E020AC96"/>
    <w:lvl w:ilvl="0" w:tplc="0BC6E6CC">
      <w:start w:val="1"/>
      <w:numFmt w:val="bullet"/>
      <w:lvlText w:val="–"/>
      <w:lvlJc w:val="left"/>
      <w:pPr>
        <w:ind w:left="1069" w:hanging="360"/>
      </w:pPr>
      <w:rPr>
        <w:rFonts w:hint="default" w:ascii="Calibri" w:hAnsi="Calibri" w:cs="Calibri" w:eastAsiaTheme="minorHAnsi"/>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1">
    <w:nsid w:val="37AB5D16"/>
    <w:multiLevelType w:val="hybridMultilevel"/>
    <w:tmpl w:val="9AD445B4"/>
    <w:lvl w:ilvl="0" w:tplc="E9E0B8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62378"/>
    <w:multiLevelType w:val="hybridMultilevel"/>
    <w:tmpl w:val="D9D0A1F0"/>
    <w:lvl w:ilvl="0" w:tplc="04190009">
      <w:start w:val="1"/>
      <w:numFmt w:val="bullet"/>
      <w:lvlText w:val=""/>
      <w:lvlJc w:val="left"/>
      <w:pPr>
        <w:ind w:left="1287" w:hanging="360"/>
      </w:pPr>
      <w:rPr>
        <w:rFonts w:hint="default" w:ascii="Wingdings" w:hAnsi="Wingdings"/>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3">
    <w:nsid w:val="58063796"/>
    <w:multiLevelType w:val="hybridMultilevel"/>
    <w:tmpl w:val="C0B8E356"/>
    <w:lvl w:ilvl="0" w:tplc="8AD46CDC">
      <w:start w:val="7"/>
      <w:numFmt w:val="bullet"/>
      <w:lvlText w:val="-"/>
      <w:lvlJc w:val="left"/>
      <w:pPr>
        <w:ind w:left="720" w:hanging="360"/>
      </w:pPr>
      <w:rPr>
        <w:rFonts w:hint="default" w:ascii="Segoe UI" w:hAnsi="Segoe UI" w:cs="Segoe UI" w:eastAsiaTheme="minorHAnsi"/>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4">
    <w:nsid w:val="5AE83B9C"/>
    <w:multiLevelType w:val="hybridMultilevel"/>
    <w:tmpl w:val="CDF25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2A2F94"/>
    <w:multiLevelType w:val="hybridMultilevel"/>
    <w:tmpl w:val="528E96B0"/>
    <w:lvl w:ilvl="0" w:tplc="FFFFFFFF">
      <w:start w:val="1"/>
      <w:numFmt w:val="decimal"/>
      <w:lvlText w:val="%1."/>
      <w:lvlJc w:val="left"/>
      <w:pPr>
        <w:tabs>
          <w:tab w:val="num" w:pos="720"/>
        </w:tabs>
        <w:ind w:left="720" w:hanging="360"/>
      </w:pPr>
      <w:rPr>
        <w:rFonts w:hint="default"/>
      </w:rPr>
    </w:lvl>
    <w:lvl w:ilvl="1" w:tplc="557E45A6">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840"/>
        </w:tabs>
        <w:ind w:left="840" w:hanging="360"/>
      </w:pPr>
    </w:lvl>
    <w:lvl w:ilvl="4" w:tplc="6E08BB6E">
      <w:start w:val="1"/>
      <w:numFmt w:val="bullet"/>
      <w:lvlText w:val="–"/>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B3B"/>
    <w:rsid w:val="000133F4"/>
    <w:rsid w:val="00026842"/>
    <w:rsid w:val="00027139"/>
    <w:rsid w:val="00030B3B"/>
    <w:rsid w:val="00036D30"/>
    <w:rsid w:val="00041F21"/>
    <w:rsid w:val="000533A4"/>
    <w:rsid w:val="000533A7"/>
    <w:rsid w:val="00054ED1"/>
    <w:rsid w:val="00071EEC"/>
    <w:rsid w:val="000932EC"/>
    <w:rsid w:val="00093A0F"/>
    <w:rsid w:val="00093E81"/>
    <w:rsid w:val="00094100"/>
    <w:rsid w:val="00096C79"/>
    <w:rsid w:val="000B4934"/>
    <w:rsid w:val="000D4567"/>
    <w:rsid w:val="000F547D"/>
    <w:rsid w:val="0011784C"/>
    <w:rsid w:val="0012274C"/>
    <w:rsid w:val="001358C1"/>
    <w:rsid w:val="001460A8"/>
    <w:rsid w:val="00147D7A"/>
    <w:rsid w:val="0015295E"/>
    <w:rsid w:val="00167CE5"/>
    <w:rsid w:val="001821AE"/>
    <w:rsid w:val="0018313A"/>
    <w:rsid w:val="00184804"/>
    <w:rsid w:val="00186742"/>
    <w:rsid w:val="00196E2C"/>
    <w:rsid w:val="001A0D6C"/>
    <w:rsid w:val="001A10AB"/>
    <w:rsid w:val="001B42A3"/>
    <w:rsid w:val="001C1814"/>
    <w:rsid w:val="001D7641"/>
    <w:rsid w:val="001E1075"/>
    <w:rsid w:val="001E1BB0"/>
    <w:rsid w:val="001E1DD5"/>
    <w:rsid w:val="001E53FA"/>
    <w:rsid w:val="001E5EE0"/>
    <w:rsid w:val="001E6851"/>
    <w:rsid w:val="001F6470"/>
    <w:rsid w:val="002015F8"/>
    <w:rsid w:val="00210206"/>
    <w:rsid w:val="00212C2C"/>
    <w:rsid w:val="0021452B"/>
    <w:rsid w:val="00236746"/>
    <w:rsid w:val="00243B2F"/>
    <w:rsid w:val="002652D3"/>
    <w:rsid w:val="00270356"/>
    <w:rsid w:val="002764C0"/>
    <w:rsid w:val="002969ED"/>
    <w:rsid w:val="002A451E"/>
    <w:rsid w:val="002B23BC"/>
    <w:rsid w:val="002C2CEB"/>
    <w:rsid w:val="002C74DA"/>
    <w:rsid w:val="002D471B"/>
    <w:rsid w:val="002F3A6B"/>
    <w:rsid w:val="00302969"/>
    <w:rsid w:val="00307CC8"/>
    <w:rsid w:val="0031510C"/>
    <w:rsid w:val="00333DFA"/>
    <w:rsid w:val="00347898"/>
    <w:rsid w:val="003500F3"/>
    <w:rsid w:val="00357E26"/>
    <w:rsid w:val="003607B1"/>
    <w:rsid w:val="003611DE"/>
    <w:rsid w:val="00390A65"/>
    <w:rsid w:val="003A0A17"/>
    <w:rsid w:val="003A6505"/>
    <w:rsid w:val="003C0E8F"/>
    <w:rsid w:val="003C16BC"/>
    <w:rsid w:val="003E46D8"/>
    <w:rsid w:val="003F04AC"/>
    <w:rsid w:val="003F1A8C"/>
    <w:rsid w:val="003F60FB"/>
    <w:rsid w:val="00404DA1"/>
    <w:rsid w:val="00451AC5"/>
    <w:rsid w:val="00463CEB"/>
    <w:rsid w:val="00487FE9"/>
    <w:rsid w:val="004A1CF6"/>
    <w:rsid w:val="004E4965"/>
    <w:rsid w:val="004E5253"/>
    <w:rsid w:val="004E7D09"/>
    <w:rsid w:val="004F3D2A"/>
    <w:rsid w:val="00520343"/>
    <w:rsid w:val="00566586"/>
    <w:rsid w:val="005854AD"/>
    <w:rsid w:val="005A31E0"/>
    <w:rsid w:val="005A73FC"/>
    <w:rsid w:val="005A7E1E"/>
    <w:rsid w:val="005B575D"/>
    <w:rsid w:val="005C5978"/>
    <w:rsid w:val="005C7B71"/>
    <w:rsid w:val="005E1777"/>
    <w:rsid w:val="005F0577"/>
    <w:rsid w:val="005F4430"/>
    <w:rsid w:val="00604F33"/>
    <w:rsid w:val="00631110"/>
    <w:rsid w:val="006601A2"/>
    <w:rsid w:val="0068217B"/>
    <w:rsid w:val="006D5FA9"/>
    <w:rsid w:val="006F0436"/>
    <w:rsid w:val="006F1DFF"/>
    <w:rsid w:val="006F7599"/>
    <w:rsid w:val="00706596"/>
    <w:rsid w:val="00713C84"/>
    <w:rsid w:val="00726FB1"/>
    <w:rsid w:val="00751EAA"/>
    <w:rsid w:val="0075389C"/>
    <w:rsid w:val="00756AF0"/>
    <w:rsid w:val="007757D7"/>
    <w:rsid w:val="007A12AB"/>
    <w:rsid w:val="007A3DDF"/>
    <w:rsid w:val="007C2FAA"/>
    <w:rsid w:val="007D1406"/>
    <w:rsid w:val="007D27C3"/>
    <w:rsid w:val="007D3387"/>
    <w:rsid w:val="007F1DD2"/>
    <w:rsid w:val="007F30D9"/>
    <w:rsid w:val="008042CA"/>
    <w:rsid w:val="008205C9"/>
    <w:rsid w:val="00821EA7"/>
    <w:rsid w:val="00826340"/>
    <w:rsid w:val="00844E36"/>
    <w:rsid w:val="00860FB9"/>
    <w:rsid w:val="008756F8"/>
    <w:rsid w:val="008764E9"/>
    <w:rsid w:val="00877F7E"/>
    <w:rsid w:val="00896001"/>
    <w:rsid w:val="008A7CBB"/>
    <w:rsid w:val="008B0501"/>
    <w:rsid w:val="008B12DB"/>
    <w:rsid w:val="008B1310"/>
    <w:rsid w:val="008B1887"/>
    <w:rsid w:val="008B7BE8"/>
    <w:rsid w:val="008C1D77"/>
    <w:rsid w:val="008C74BC"/>
    <w:rsid w:val="008D18E9"/>
    <w:rsid w:val="008D7213"/>
    <w:rsid w:val="008E1923"/>
    <w:rsid w:val="00913830"/>
    <w:rsid w:val="00935289"/>
    <w:rsid w:val="00946303"/>
    <w:rsid w:val="00956D6E"/>
    <w:rsid w:val="00962344"/>
    <w:rsid w:val="009635B1"/>
    <w:rsid w:val="00983C8C"/>
    <w:rsid w:val="009B22AA"/>
    <w:rsid w:val="009B5945"/>
    <w:rsid w:val="009E61E2"/>
    <w:rsid w:val="009F7577"/>
    <w:rsid w:val="00A003F0"/>
    <w:rsid w:val="00A02ECE"/>
    <w:rsid w:val="00A07A02"/>
    <w:rsid w:val="00A124C4"/>
    <w:rsid w:val="00A173D1"/>
    <w:rsid w:val="00A250B5"/>
    <w:rsid w:val="00A3478E"/>
    <w:rsid w:val="00A459DB"/>
    <w:rsid w:val="00A561FA"/>
    <w:rsid w:val="00A73D20"/>
    <w:rsid w:val="00A7550C"/>
    <w:rsid w:val="00A8692C"/>
    <w:rsid w:val="00AA66E1"/>
    <w:rsid w:val="00AB3808"/>
    <w:rsid w:val="00AE1F7A"/>
    <w:rsid w:val="00AE5393"/>
    <w:rsid w:val="00AF3570"/>
    <w:rsid w:val="00AF4A75"/>
    <w:rsid w:val="00AF7446"/>
    <w:rsid w:val="00B361A7"/>
    <w:rsid w:val="00B4440E"/>
    <w:rsid w:val="00B71534"/>
    <w:rsid w:val="00B764AE"/>
    <w:rsid w:val="00BA5729"/>
    <w:rsid w:val="00BA6E28"/>
    <w:rsid w:val="00BB6365"/>
    <w:rsid w:val="00BB7528"/>
    <w:rsid w:val="00BF2105"/>
    <w:rsid w:val="00BF5879"/>
    <w:rsid w:val="00C143C3"/>
    <w:rsid w:val="00C20D0C"/>
    <w:rsid w:val="00C2334D"/>
    <w:rsid w:val="00C56262"/>
    <w:rsid w:val="00C57263"/>
    <w:rsid w:val="00C910F0"/>
    <w:rsid w:val="00CA6023"/>
    <w:rsid w:val="00CA714A"/>
    <w:rsid w:val="00CB20AC"/>
    <w:rsid w:val="00CB5B57"/>
    <w:rsid w:val="00CC7399"/>
    <w:rsid w:val="00CE7CF4"/>
    <w:rsid w:val="00CF2618"/>
    <w:rsid w:val="00D134AB"/>
    <w:rsid w:val="00D26344"/>
    <w:rsid w:val="00D27E31"/>
    <w:rsid w:val="00D34380"/>
    <w:rsid w:val="00D416D7"/>
    <w:rsid w:val="00D62A79"/>
    <w:rsid w:val="00D717E2"/>
    <w:rsid w:val="00D84E18"/>
    <w:rsid w:val="00D86A69"/>
    <w:rsid w:val="00DA2531"/>
    <w:rsid w:val="00DA2652"/>
    <w:rsid w:val="00DA3B95"/>
    <w:rsid w:val="00DA7B70"/>
    <w:rsid w:val="00DC10CF"/>
    <w:rsid w:val="00DC4B76"/>
    <w:rsid w:val="00DD0935"/>
    <w:rsid w:val="00DD1C3C"/>
    <w:rsid w:val="00DD4F45"/>
    <w:rsid w:val="00DF2739"/>
    <w:rsid w:val="00E07B4F"/>
    <w:rsid w:val="00E14C94"/>
    <w:rsid w:val="00E40DA2"/>
    <w:rsid w:val="00E47BA5"/>
    <w:rsid w:val="00E53642"/>
    <w:rsid w:val="00E55D2E"/>
    <w:rsid w:val="00E82B7C"/>
    <w:rsid w:val="00E86A3B"/>
    <w:rsid w:val="00E94EA4"/>
    <w:rsid w:val="00EB1E81"/>
    <w:rsid w:val="00EB20B4"/>
    <w:rsid w:val="00EB69AE"/>
    <w:rsid w:val="00EB6F58"/>
    <w:rsid w:val="00EB71A4"/>
    <w:rsid w:val="00EE038B"/>
    <w:rsid w:val="00EF22A8"/>
    <w:rsid w:val="00F148A2"/>
    <w:rsid w:val="00F436C2"/>
    <w:rsid w:val="00F46DD2"/>
    <w:rsid w:val="00F5543D"/>
    <w:rsid w:val="00F61F85"/>
    <w:rsid w:val="00F67CA3"/>
    <w:rsid w:val="00F81F39"/>
    <w:rsid w:val="00F82D54"/>
    <w:rsid w:val="00FC301F"/>
    <w:rsid w:val="00FE25F6"/>
    <w:rsid w:val="00FF1EB3"/>
    <w:rsid w:val="01D79BDF"/>
    <w:rsid w:val="02482329"/>
    <w:rsid w:val="09E54AF7"/>
    <w:rsid w:val="0EA64B21"/>
    <w:rsid w:val="132BB7D2"/>
    <w:rsid w:val="187D3790"/>
    <w:rsid w:val="1A9602F8"/>
    <w:rsid w:val="2F5DAE1F"/>
    <w:rsid w:val="30A7E0E8"/>
    <w:rsid w:val="3F805AFB"/>
    <w:rsid w:val="46D99830"/>
    <w:rsid w:val="4C0A6002"/>
    <w:rsid w:val="526A3E55"/>
    <w:rsid w:val="529C6685"/>
    <w:rsid w:val="55526D4B"/>
    <w:rsid w:val="5699A7AB"/>
    <w:rsid w:val="5AC4C5C5"/>
    <w:rsid w:val="5E1EAA3E"/>
    <w:rsid w:val="65F9F62D"/>
    <w:rsid w:val="733B9403"/>
    <w:rsid w:val="791B3C29"/>
    <w:rsid w:val="7F4B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cs="Times New Roman" w:eastAsiaTheme="minorHAnsi"/>
        <w:lang w:val="ru-RU" w:eastAsia="en-US" w:bidi="ar-SA"/>
      </w:rPr>
    </w:rPrDefault>
    <w:pPrDefault>
      <w:pPr>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D84E18"/>
    <w:pPr>
      <w:spacing w:after="120"/>
    </w:pPr>
    <w:rPr>
      <w:rFonts w:ascii="Segoe UI" w:hAnsi="Segoe UI"/>
      <w:sz w:val="24"/>
      <w:lang w:val="uk-UA"/>
    </w:rPr>
  </w:style>
  <w:style w:type="paragraph" w:styleId="2">
    <w:name w:val="heading 2"/>
    <w:basedOn w:val="a"/>
    <w:next w:val="a"/>
    <w:link w:val="20"/>
    <w:uiPriority w:val="9"/>
    <w:unhideWhenUsed/>
    <w:qFormat/>
    <w:rsid w:val="00463CEB"/>
    <w:pPr>
      <w:keepNext/>
      <w:keepLines/>
      <w:jc w:val="left"/>
      <w:outlineLvl w:val="1"/>
    </w:pPr>
    <w:rPr>
      <w:rFonts w:eastAsiaTheme="majorEastAsia" w:cstheme="majorBidi"/>
      <w:b/>
      <w:bCs/>
      <w:sz w:val="28"/>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rsid w:val="00DA2652"/>
    <w:rPr>
      <w:rFonts w:cs="Times New Roman"/>
      <w:color w:val="1F497D" w:themeColor="text2"/>
      <w:u w:val="none"/>
    </w:rPr>
  </w:style>
  <w:style w:type="table" w:styleId="a4">
    <w:name w:val="Table Grid"/>
    <w:basedOn w:val="a1"/>
    <w:uiPriority w:val="59"/>
    <w:rsid w:val="00030B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Balloon Text"/>
    <w:basedOn w:val="a"/>
    <w:link w:val="a6"/>
    <w:uiPriority w:val="99"/>
    <w:semiHidden/>
    <w:unhideWhenUsed/>
    <w:rsid w:val="00D717E2"/>
    <w:rPr>
      <w:rFonts w:ascii="Tahoma" w:hAnsi="Tahoma" w:cs="Tahoma"/>
      <w:sz w:val="16"/>
      <w:szCs w:val="16"/>
    </w:rPr>
  </w:style>
  <w:style w:type="character" w:styleId="a6" w:customStyle="1">
    <w:name w:val="Текст выноски Знак"/>
    <w:basedOn w:val="a0"/>
    <w:link w:val="a5"/>
    <w:uiPriority w:val="99"/>
    <w:semiHidden/>
    <w:rsid w:val="00D717E2"/>
    <w:rPr>
      <w:rFonts w:ascii="Tahoma" w:hAnsi="Tahoma" w:cs="Tahoma"/>
      <w:sz w:val="16"/>
      <w:szCs w:val="16"/>
      <w:lang w:val="uk-UA"/>
    </w:rPr>
  </w:style>
  <w:style w:type="character" w:styleId="20" w:customStyle="1">
    <w:name w:val="Заголовок 2 Знак"/>
    <w:basedOn w:val="a0"/>
    <w:link w:val="2"/>
    <w:uiPriority w:val="9"/>
    <w:rsid w:val="00463CEB"/>
    <w:rPr>
      <w:rFonts w:eastAsiaTheme="majorEastAsia" w:cstheme="majorBidi"/>
      <w:b/>
      <w:bCs/>
      <w:sz w:val="28"/>
      <w:szCs w:val="26"/>
      <w:lang w:val="uk-UA"/>
    </w:rPr>
  </w:style>
  <w:style w:type="paragraph" w:styleId="a7">
    <w:name w:val="List Paragraph"/>
    <w:basedOn w:val="a"/>
    <w:uiPriority w:val="34"/>
    <w:qFormat/>
    <w:rsid w:val="00147D7A"/>
    <w:pPr>
      <w:spacing w:after="0" w:line="360" w:lineRule="auto"/>
      <w:ind w:left="720" w:firstLine="709"/>
      <w:contextualSpacing/>
    </w:pPr>
    <w:rPr>
      <w:rFonts w:ascii="Times New Roman" w:hAnsi="Times New Roman" w:eastAsia="Times New Roman"/>
      <w:sz w:val="28"/>
      <w:szCs w:val="24"/>
      <w:lang w:eastAsia="ru-RU"/>
    </w:rPr>
  </w:style>
  <w:style w:type="character" w:styleId="apple-converted-space" w:customStyle="1">
    <w:name w:val="apple-converted-space"/>
    <w:basedOn w:val="a0"/>
    <w:rsid w:val="007A12AB"/>
  </w:style>
  <w:style w:type="paragraph" w:styleId="a8">
    <w:name w:val="header"/>
    <w:basedOn w:val="a"/>
    <w:link w:val="a9"/>
    <w:uiPriority w:val="99"/>
    <w:semiHidden/>
    <w:unhideWhenUsed/>
    <w:rsid w:val="009B22AA"/>
    <w:pPr>
      <w:tabs>
        <w:tab w:val="center" w:pos="4677"/>
        <w:tab w:val="right" w:pos="9355"/>
      </w:tabs>
      <w:spacing w:after="0"/>
    </w:pPr>
  </w:style>
  <w:style w:type="character" w:styleId="a9" w:customStyle="1">
    <w:name w:val="Верхний колонтитул Знак"/>
    <w:basedOn w:val="a0"/>
    <w:link w:val="a8"/>
    <w:uiPriority w:val="99"/>
    <w:semiHidden/>
    <w:rsid w:val="009B22AA"/>
    <w:rPr>
      <w:sz w:val="24"/>
      <w:lang w:val="uk-UA"/>
    </w:rPr>
  </w:style>
  <w:style w:type="paragraph" w:styleId="aa">
    <w:name w:val="footer"/>
    <w:basedOn w:val="a"/>
    <w:link w:val="ab"/>
    <w:uiPriority w:val="99"/>
    <w:semiHidden/>
    <w:unhideWhenUsed/>
    <w:rsid w:val="009B22AA"/>
    <w:pPr>
      <w:tabs>
        <w:tab w:val="center" w:pos="4677"/>
        <w:tab w:val="right" w:pos="9355"/>
      </w:tabs>
      <w:spacing w:after="0"/>
    </w:pPr>
  </w:style>
  <w:style w:type="character" w:styleId="ab" w:customStyle="1">
    <w:name w:val="Нижний колонтитул Знак"/>
    <w:basedOn w:val="a0"/>
    <w:link w:val="aa"/>
    <w:uiPriority w:val="99"/>
    <w:semiHidden/>
    <w:rsid w:val="009B22AA"/>
    <w:rPr>
      <w:sz w:val="24"/>
      <w:lang w:val="uk-UA"/>
    </w:rPr>
  </w:style>
  <w:style w:type="character" w:styleId="ac">
    <w:name w:val="FollowedHyperlink"/>
    <w:basedOn w:val="a0"/>
    <w:uiPriority w:val="99"/>
    <w:semiHidden/>
    <w:unhideWhenUsed/>
    <w:rsid w:val="000F547D"/>
    <w:rPr>
      <w:color w:val="800080" w:themeColor="followedHyperlink"/>
      <w:u w:val="single"/>
    </w:rPr>
  </w:style>
  <w:style w:type="paragraph" w:styleId="ad">
    <w:name w:val="Normal (Web)"/>
    <w:basedOn w:val="a"/>
    <w:uiPriority w:val="99"/>
    <w:unhideWhenUsed/>
    <w:rsid w:val="000F547D"/>
    <w:pPr>
      <w:spacing w:before="100" w:beforeAutospacing="1" w:after="100" w:afterAutospacing="1"/>
      <w:jc w:val="left"/>
    </w:pPr>
    <w:rPr>
      <w:rFonts w:ascii="Times New Roman" w:hAnsi="Times New Roman" w:eastAsia="Times New Roman"/>
      <w:szCs w:val="24"/>
      <w:lang w:val="ru-RU" w:eastAsia="ru-RU"/>
    </w:rPr>
  </w:style>
  <w:style w:type="character" w:styleId="ae">
    <w:name w:val="Strong"/>
    <w:basedOn w:val="a0"/>
    <w:uiPriority w:val="22"/>
    <w:qFormat/>
    <w:rsid w:val="00EB1E81"/>
    <w:rPr>
      <w:b/>
      <w:bCs/>
    </w:rPr>
  </w:style>
  <w:style w:type="paragraph" w:styleId="af">
    <w:name w:val="Title"/>
    <w:basedOn w:val="a"/>
    <w:link w:val="af0"/>
    <w:uiPriority w:val="1"/>
    <w:qFormat/>
    <w:rsid w:val="003607B1"/>
    <w:pPr>
      <w:widowControl w:val="0"/>
      <w:autoSpaceDE w:val="0"/>
      <w:autoSpaceDN w:val="0"/>
      <w:spacing w:before="72" w:after="0"/>
      <w:ind w:left="91" w:right="156"/>
      <w:jc w:val="center"/>
    </w:pPr>
    <w:rPr>
      <w:rFonts w:ascii="Times New Roman" w:hAnsi="Times New Roman" w:eastAsia="Times New Roman"/>
      <w:b/>
      <w:bCs/>
      <w:sz w:val="28"/>
      <w:szCs w:val="28"/>
    </w:rPr>
  </w:style>
  <w:style w:type="character" w:styleId="af0" w:customStyle="1">
    <w:name w:val="Название Знак"/>
    <w:basedOn w:val="a0"/>
    <w:link w:val="af"/>
    <w:uiPriority w:val="1"/>
    <w:rsid w:val="003607B1"/>
    <w:rPr>
      <w:rFonts w:ascii="Times New Roman" w:hAnsi="Times New Roman" w:eastAsia="Times New Roman"/>
      <w:b/>
      <w:bCs/>
      <w:sz w:val="28"/>
      <w:szCs w:val="28"/>
      <w:lang w:val="uk-UA"/>
    </w:rPr>
  </w:style>
  <w:style w:type="paragraph" w:styleId="af1">
    <w:name w:val="Body Text Indent"/>
    <w:basedOn w:val="a"/>
    <w:link w:val="af2"/>
    <w:rsid w:val="003607B1"/>
    <w:pPr>
      <w:spacing w:after="0" w:line="360" w:lineRule="auto"/>
      <w:ind w:firstLine="709"/>
    </w:pPr>
    <w:rPr>
      <w:rFonts w:ascii="Times New Roman" w:hAnsi="Times New Roman" w:eastAsia="Times New Roman"/>
      <w:sz w:val="28"/>
      <w:lang w:eastAsia="ru-RU"/>
    </w:rPr>
  </w:style>
  <w:style w:type="character" w:styleId="af2" w:customStyle="1">
    <w:name w:val="Основной текст с отступом Знак"/>
    <w:basedOn w:val="a0"/>
    <w:link w:val="af1"/>
    <w:rsid w:val="003607B1"/>
    <w:rPr>
      <w:rFonts w:ascii="Times New Roman" w:hAnsi="Times New Roman" w:eastAsia="Times New Roman"/>
      <w:sz w:val="28"/>
      <w:lang w:val="uk-UA" w:eastAsia="ru-RU"/>
    </w:rPr>
  </w:style>
  <w:style w:type="paragraph" w:styleId="HTML">
    <w:name w:val="HTML Preformatted"/>
    <w:basedOn w:val="a"/>
    <w:link w:val="HTML0"/>
    <w:uiPriority w:val="99"/>
    <w:semiHidden/>
    <w:unhideWhenUsed/>
    <w:rsid w:val="006D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eastAsia="Times New Roman" w:cs="Courier New"/>
      <w:sz w:val="20"/>
      <w:lang w:eastAsia="uk-UA"/>
    </w:rPr>
  </w:style>
  <w:style w:type="character" w:styleId="HTML0" w:customStyle="1">
    <w:name w:val="Стандартный HTML Знак"/>
    <w:basedOn w:val="a0"/>
    <w:link w:val="HTML"/>
    <w:uiPriority w:val="99"/>
    <w:semiHidden/>
    <w:rsid w:val="006D5FA9"/>
    <w:rPr>
      <w:rFonts w:ascii="Courier New" w:hAnsi="Courier New" w:eastAsia="Times New Roman" w:cs="Courier New"/>
      <w:lang w:val="uk-UA" w:eastAsia="uk-UA"/>
    </w:rPr>
  </w:style>
  <w:style w:type="character" w:styleId="y2iqfc" w:customStyle="1">
    <w:name w:val="y2iqfc"/>
    <w:basedOn w:val="a0"/>
    <w:rsid w:val="006D5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5903">
      <w:bodyDiv w:val="1"/>
      <w:marLeft w:val="0"/>
      <w:marRight w:val="0"/>
      <w:marTop w:val="0"/>
      <w:marBottom w:val="0"/>
      <w:divBdr>
        <w:top w:val="none" w:sz="0" w:space="0" w:color="auto"/>
        <w:left w:val="none" w:sz="0" w:space="0" w:color="auto"/>
        <w:bottom w:val="none" w:sz="0" w:space="0" w:color="auto"/>
        <w:right w:val="none" w:sz="0" w:space="0" w:color="auto"/>
      </w:divBdr>
    </w:div>
    <w:div w:id="146164980">
      <w:bodyDiv w:val="1"/>
      <w:marLeft w:val="0"/>
      <w:marRight w:val="0"/>
      <w:marTop w:val="0"/>
      <w:marBottom w:val="0"/>
      <w:divBdr>
        <w:top w:val="none" w:sz="0" w:space="0" w:color="auto"/>
        <w:left w:val="none" w:sz="0" w:space="0" w:color="auto"/>
        <w:bottom w:val="none" w:sz="0" w:space="0" w:color="auto"/>
        <w:right w:val="none" w:sz="0" w:space="0" w:color="auto"/>
      </w:divBdr>
    </w:div>
    <w:div w:id="196509199">
      <w:bodyDiv w:val="1"/>
      <w:marLeft w:val="0"/>
      <w:marRight w:val="0"/>
      <w:marTop w:val="0"/>
      <w:marBottom w:val="0"/>
      <w:divBdr>
        <w:top w:val="none" w:sz="0" w:space="0" w:color="auto"/>
        <w:left w:val="none" w:sz="0" w:space="0" w:color="auto"/>
        <w:bottom w:val="none" w:sz="0" w:space="0" w:color="auto"/>
        <w:right w:val="none" w:sz="0" w:space="0" w:color="auto"/>
      </w:divBdr>
    </w:div>
    <w:div w:id="717896513">
      <w:bodyDiv w:val="1"/>
      <w:marLeft w:val="0"/>
      <w:marRight w:val="0"/>
      <w:marTop w:val="0"/>
      <w:marBottom w:val="0"/>
      <w:divBdr>
        <w:top w:val="none" w:sz="0" w:space="0" w:color="auto"/>
        <w:left w:val="none" w:sz="0" w:space="0" w:color="auto"/>
        <w:bottom w:val="none" w:sz="0" w:space="0" w:color="auto"/>
        <w:right w:val="none" w:sz="0" w:space="0" w:color="auto"/>
      </w:divBdr>
    </w:div>
    <w:div w:id="953829488">
      <w:bodyDiv w:val="1"/>
      <w:marLeft w:val="0"/>
      <w:marRight w:val="0"/>
      <w:marTop w:val="0"/>
      <w:marBottom w:val="0"/>
      <w:divBdr>
        <w:top w:val="none" w:sz="0" w:space="0" w:color="auto"/>
        <w:left w:val="none" w:sz="0" w:space="0" w:color="auto"/>
        <w:bottom w:val="none" w:sz="0" w:space="0" w:color="auto"/>
        <w:right w:val="none" w:sz="0" w:space="0" w:color="auto"/>
      </w:divBdr>
    </w:div>
    <w:div w:id="1093434214">
      <w:bodyDiv w:val="1"/>
      <w:marLeft w:val="0"/>
      <w:marRight w:val="0"/>
      <w:marTop w:val="0"/>
      <w:marBottom w:val="0"/>
      <w:divBdr>
        <w:top w:val="none" w:sz="0" w:space="0" w:color="auto"/>
        <w:left w:val="none" w:sz="0" w:space="0" w:color="auto"/>
        <w:bottom w:val="none" w:sz="0" w:space="0" w:color="auto"/>
        <w:right w:val="none" w:sz="0" w:space="0" w:color="auto"/>
      </w:divBdr>
    </w:div>
    <w:div w:id="19613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searchgate.net/profile/Natalia-Postolna" TargetMode="External" Id="rId13" /><Relationship Type="http://schemas.openxmlformats.org/officeDocument/2006/relationships/hyperlink" Target="https://financial.lnu.edu.ua/wp-content/uploads/2020/11/Blashchuk_Petyk_13_end.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orcid.org/0000-0002-7283-5870" TargetMode="External" Id="rId12" /><Relationship Type="http://schemas.openxmlformats.org/officeDocument/2006/relationships/hyperlink" Target="https://lib.lntu.edu.ua/sites/default/files/2021-03/%21%20%D0%BF%D1%96%D0%B4%D1%80%D1%83%D1%87%D0%BD%D0%B8%D0%BA%20%D0%95%D0%9F%20%D0%9F%D0%A2%D0%91.pdf" TargetMode="External" Id="rId17" /><Relationship Type="http://schemas.openxmlformats.org/officeDocument/2006/relationships/customXml" Target="../customXml/item2.xml" Id="rId2" /><Relationship Type="http://schemas.openxmlformats.org/officeDocument/2006/relationships/hyperlink" Target="https://zakon.rada.gov.ua/laws/show/2121-14/ed20221001" TargetMode="External" Id="rId16" /><Relationship Type="http://schemas.openxmlformats.org/officeDocument/2006/relationships/hyperlink" Target="http://pdf.lib.vntu.edu.ua/books/IRVC/2021/Zyanko_2018_126.pdf" TargetMode="Externa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htek.com.ua/struktura/viddilennya/viddilennya-ekonomiki-upravlinnya-ta-administruvannya/ciklova-komisiya-ekonomiki-ta-marketingu/" TargetMode="External" Id="rId11" /><Relationship Type="http://schemas.openxmlformats.org/officeDocument/2006/relationships/styles" Target="styles.xml" Id="rId5" /><Relationship Type="http://schemas.openxmlformats.org/officeDocument/2006/relationships/hyperlink" Target="https://edu.htek.org.ua/" TargetMode="External" Id="rId15" /><Relationship Type="http://schemas.openxmlformats.org/officeDocument/2006/relationships/endnotes" Target="endnotes.xml" Id="rId10" /><Relationship Type="http://schemas.openxmlformats.org/officeDocument/2006/relationships/hyperlink" Target="https://dspace.univd.edu.ua/xmlui/bitstream/handle/123456789/13977/Finansy%20pidpryiemstv_pidruchnyk_Sokurenko_Shvets_Bortnyk_Tkachenko_2022.pdf?sequence=1&amp;isAllowed=y"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mailto:n.postolna@knute.edu.ua" TargetMode="External" Id="rId14" /><Relationship Type="http://schemas.openxmlformats.org/officeDocument/2006/relationships/theme" Target="theme/theme1.xml" Id="rId22"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247878-7407-48b6-a173-1e4a5d02ff62">
      <Terms xmlns="http://schemas.microsoft.com/office/infopath/2007/PartnerControls"/>
    </lcf76f155ced4ddcb4097134ff3c332f>
    <TaxCatchAll xmlns="08036e39-5eee-4a7a-ba87-43f0b2ef7c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F36813E8178A4D92D37CFFCA5C0A40" ma:contentTypeVersion="19" ma:contentTypeDescription="Создание документа." ma:contentTypeScope="" ma:versionID="2487af85d6f44ea18a54d795ee9a115a">
  <xsd:schema xmlns:xsd="http://www.w3.org/2001/XMLSchema" xmlns:xs="http://www.w3.org/2001/XMLSchema" xmlns:p="http://schemas.microsoft.com/office/2006/metadata/properties" xmlns:ns2="08036e39-5eee-4a7a-ba87-43f0b2ef7cec" xmlns:ns3="e3247878-7407-48b6-a173-1e4a5d02ff62" targetNamespace="http://schemas.microsoft.com/office/2006/metadata/properties" ma:root="true" ma:fieldsID="766e6150fcdb684360f791abd8a26e31" ns2:_="" ns3:_="">
    <xsd:import namespace="08036e39-5eee-4a7a-ba87-43f0b2ef7cec"/>
    <xsd:import namespace="e3247878-7407-48b6-a173-1e4a5d02f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36e39-5eee-4a7a-ba87-43f0b2ef7ce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569ee451-d07b-4a08-a0a0-40a9a68c6f42}" ma:internalName="TaxCatchAll" ma:showField="CatchAllData" ma:web="08036e39-5eee-4a7a-ba87-43f0b2ef7c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247878-7407-48b6-a173-1e4a5d02f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e5ed4982-6aa5-4c40-bfe4-44b657fb2f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544E6-C0D5-43A3-8379-CA0A93EDD36B}">
  <ds:schemaRefs>
    <ds:schemaRef ds:uri="http://schemas.microsoft.com/office/2006/metadata/properties"/>
    <ds:schemaRef ds:uri="http://schemas.microsoft.com/office/infopath/2007/PartnerControls"/>
    <ds:schemaRef ds:uri="e3247878-7407-48b6-a173-1e4a5d02ff62"/>
    <ds:schemaRef ds:uri="08036e39-5eee-4a7a-ba87-43f0b2ef7cec"/>
  </ds:schemaRefs>
</ds:datastoreItem>
</file>

<file path=customXml/itemProps2.xml><?xml version="1.0" encoding="utf-8"?>
<ds:datastoreItem xmlns:ds="http://schemas.openxmlformats.org/officeDocument/2006/customXml" ds:itemID="{E359859C-2F12-4B2E-A4F9-B74DDB3D1B8D}">
  <ds:schemaRefs>
    <ds:schemaRef ds:uri="http://schemas.microsoft.com/sharepoint/v3/contenttype/forms"/>
  </ds:schemaRefs>
</ds:datastoreItem>
</file>

<file path=customXml/itemProps3.xml><?xml version="1.0" encoding="utf-8"?>
<ds:datastoreItem xmlns:ds="http://schemas.openxmlformats.org/officeDocument/2006/customXml" ds:itemID="{21D53C4C-267D-4321-9901-B5E917B5D3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Мельничук Марина Олексіївна</cp:lastModifiedBy>
  <cp:revision>75</cp:revision>
  <dcterms:created xsi:type="dcterms:W3CDTF">2020-03-24T03:32:00Z</dcterms:created>
  <dcterms:modified xsi:type="dcterms:W3CDTF">2024-01-19T12:49:05Z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0x010100F1F36813E8178A4D92D37CFFCA5C0A40</vt:lpwstr>
  </property>
  <property fmtid="{D5CDD505-2E9C-101B-9397-08002B2CF9AE}" pid="3" name="MediaServiceImageTags">
    <vt:lpwstr/>
  </property>
</Properties>
</file>