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2658"/>
      </w:tblGrid>
      <w:tr w:rsidR="00BA6E28" w:rsidRPr="00E40DA2" w14:paraId="73B0C6DE" w14:textId="77777777" w:rsidTr="187D3790">
        <w:tc>
          <w:tcPr>
            <w:tcW w:w="294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4FAD260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КИЇВСЬКИЙ НАЦІОНАЛЬНИЙ ТОРГОВЕЛЬНО-ЕКОНОМІЧНИЙ УНІВЕРСИТЕТ</w:t>
            </w:r>
          </w:p>
          <w:p w14:paraId="0A37501D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</w:p>
          <w:p w14:paraId="5DAB6C7B" w14:textId="77777777" w:rsidR="00CE7CF4" w:rsidRPr="00E40DA2" w:rsidRDefault="00CE7CF4" w:rsidP="001E6851">
            <w:pPr>
              <w:spacing w:after="60"/>
              <w:jc w:val="center"/>
              <w:rPr>
                <w:b/>
              </w:rPr>
            </w:pPr>
          </w:p>
          <w:p w14:paraId="45AE6923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ХАРКІВСЬКИЙ ТОРГОВЕЛЬНО-ЕКОНОМІЧНИЙ ІНСТИТУТ КНТЕУ</w:t>
            </w: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30F833FA" w14:textId="3554208B" w:rsidR="00BA6E28" w:rsidRPr="004961B7" w:rsidRDefault="007C55A4" w:rsidP="001E6851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4961B7">
              <w:rPr>
                <w:b/>
                <w:sz w:val="28"/>
                <w:szCs w:val="28"/>
              </w:rPr>
              <w:t>ОБЛІКОВА ПОЛІТИКА ПІДПРИЄМСТВА</w:t>
            </w:r>
          </w:p>
        </w:tc>
      </w:tr>
      <w:tr w:rsidR="00BA6E28" w:rsidRPr="00E40DA2" w14:paraId="42A26D7C" w14:textId="77777777" w:rsidTr="187D3790">
        <w:tc>
          <w:tcPr>
            <w:tcW w:w="2943" w:type="dxa"/>
            <w:vMerge/>
          </w:tcPr>
          <w:p w14:paraId="02EB378F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5F802752" w14:textId="4FAF03BC" w:rsidR="00BA6E28" w:rsidRPr="004961B7" w:rsidRDefault="006E531F" w:rsidP="001E6851">
            <w:pPr>
              <w:spacing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4961B7">
              <w:rPr>
                <w:b/>
                <w:color w:val="A6A6A6" w:themeColor="background1" w:themeShade="A6"/>
                <w:sz w:val="28"/>
                <w:szCs w:val="28"/>
              </w:rPr>
              <w:t xml:space="preserve">Company </w:t>
            </w:r>
            <w:r w:rsidR="007C55A4" w:rsidRPr="004961B7">
              <w:rPr>
                <w:b/>
                <w:color w:val="A6A6A6" w:themeColor="background1" w:themeShade="A6"/>
                <w:sz w:val="28"/>
                <w:szCs w:val="28"/>
              </w:rPr>
              <w:t>Accounting Policy</w:t>
            </w:r>
          </w:p>
        </w:tc>
      </w:tr>
      <w:tr w:rsidR="00BA6E28" w:rsidRPr="00E40DA2" w14:paraId="6A05A809" w14:textId="77777777" w:rsidTr="187D3790">
        <w:tc>
          <w:tcPr>
            <w:tcW w:w="2943" w:type="dxa"/>
            <w:vMerge/>
          </w:tcPr>
          <w:p w14:paraId="5A39BBE3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1C8F396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14:paraId="72A3D3EC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</w:tr>
      <w:tr w:rsidR="00BA6E28" w:rsidRPr="00E40DA2" w14:paraId="54ECD8A3" w14:textId="77777777" w:rsidTr="187D3790">
        <w:tc>
          <w:tcPr>
            <w:tcW w:w="2943" w:type="dxa"/>
            <w:vMerge/>
          </w:tcPr>
          <w:p w14:paraId="0D0B940D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208945" w14:textId="77777777" w:rsidR="00BA6E28" w:rsidRPr="00E40DA2" w:rsidRDefault="00BA6E28" w:rsidP="001E6851">
            <w:pPr>
              <w:spacing w:after="60"/>
            </w:pPr>
            <w:r w:rsidRPr="00E40DA2">
              <w:t>Ступінь вищої освіти</w:t>
            </w:r>
          </w:p>
        </w:tc>
        <w:tc>
          <w:tcPr>
            <w:tcW w:w="2658" w:type="dxa"/>
          </w:tcPr>
          <w:p w14:paraId="18067F49" w14:textId="4850A6A2" w:rsidR="00BA6E28" w:rsidRPr="00E40DA2" w:rsidRDefault="00382B26" w:rsidP="001E6851">
            <w:pPr>
              <w:spacing w:after="60"/>
            </w:pPr>
            <w:r>
              <w:t>Магістр</w:t>
            </w:r>
          </w:p>
        </w:tc>
      </w:tr>
      <w:tr w:rsidR="00BA6E28" w:rsidRPr="00E40DA2" w14:paraId="327F6DB8" w14:textId="77777777" w:rsidTr="187D3790">
        <w:tc>
          <w:tcPr>
            <w:tcW w:w="2943" w:type="dxa"/>
            <w:vMerge/>
          </w:tcPr>
          <w:p w14:paraId="0E27B00A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8377BCB" w14:textId="77777777" w:rsidR="00BA6E28" w:rsidRPr="00E40DA2" w:rsidRDefault="00BA6E28" w:rsidP="001E6851">
            <w:pPr>
              <w:spacing w:after="60"/>
            </w:pPr>
            <w:r w:rsidRPr="00E40DA2">
              <w:t>Навчальний рік</w:t>
            </w:r>
          </w:p>
        </w:tc>
        <w:tc>
          <w:tcPr>
            <w:tcW w:w="2658" w:type="dxa"/>
          </w:tcPr>
          <w:p w14:paraId="3465792C" w14:textId="275372A4" w:rsidR="00BA6E28" w:rsidRPr="00E40DA2" w:rsidRDefault="00BA6E28" w:rsidP="002128D3">
            <w:pPr>
              <w:spacing w:after="60"/>
            </w:pPr>
            <w:r w:rsidRPr="00E40DA2">
              <w:t>202</w:t>
            </w:r>
            <w:r w:rsidR="002128D3">
              <w:t>1</w:t>
            </w:r>
            <w:r w:rsidRPr="00E40DA2">
              <w:t>/202</w:t>
            </w:r>
            <w:r w:rsidR="002128D3">
              <w:t>2</w:t>
            </w:r>
          </w:p>
        </w:tc>
      </w:tr>
      <w:tr w:rsidR="00BA6E28" w:rsidRPr="00E40DA2" w14:paraId="75B26A3D" w14:textId="77777777" w:rsidTr="187D3790">
        <w:tc>
          <w:tcPr>
            <w:tcW w:w="2943" w:type="dxa"/>
            <w:vMerge/>
          </w:tcPr>
          <w:p w14:paraId="60061E4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B3E6CBF" w14:textId="0C36F4F7" w:rsidR="00BA6E28" w:rsidRPr="00E40DA2" w:rsidRDefault="55526D4B" w:rsidP="001E6851">
            <w:pPr>
              <w:spacing w:after="60"/>
            </w:pPr>
            <w:r>
              <w:t xml:space="preserve">З </w:t>
            </w:r>
            <w:r w:rsidR="00BA6E28">
              <w:t>яко</w:t>
            </w:r>
            <w:r w:rsidR="4C0A6002">
              <w:t>го</w:t>
            </w:r>
            <w:r w:rsidR="00BA6E28">
              <w:t xml:space="preserve"> курс</w:t>
            </w:r>
            <w:r w:rsidR="46D99830">
              <w:t>у</w:t>
            </w:r>
            <w:r w:rsidR="00BA6E28">
              <w:t xml:space="preserve"> викладається</w:t>
            </w:r>
          </w:p>
        </w:tc>
        <w:tc>
          <w:tcPr>
            <w:tcW w:w="2658" w:type="dxa"/>
          </w:tcPr>
          <w:p w14:paraId="7A49729F" w14:textId="050E0A5A" w:rsidR="00BA6E28" w:rsidRPr="007C55A4" w:rsidRDefault="007C55A4" w:rsidP="02482329">
            <w:pPr>
              <w:spacing w:after="60" w:line="259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2482329" w14:paraId="33BB0498" w14:textId="77777777" w:rsidTr="187D3790">
        <w:tc>
          <w:tcPr>
            <w:tcW w:w="2943" w:type="dxa"/>
            <w:vMerge/>
          </w:tcPr>
          <w:p w14:paraId="2D360874" w14:textId="77777777" w:rsidR="004E068A" w:rsidRDefault="004E068A"/>
        </w:tc>
        <w:tc>
          <w:tcPr>
            <w:tcW w:w="4253" w:type="dxa"/>
            <w:tcBorders>
              <w:left w:val="single" w:sz="4" w:space="0" w:color="auto"/>
            </w:tcBorders>
          </w:tcPr>
          <w:p w14:paraId="6C7B34A7" w14:textId="47C03A3E" w:rsidR="01D79BDF" w:rsidRDefault="01D79BDF" w:rsidP="02482329">
            <w:r w:rsidRPr="02482329">
              <w:rPr>
                <w:rFonts w:eastAsia="Calibri" w:cs="Calibri"/>
                <w:szCs w:val="24"/>
                <w:lang w:val="uk"/>
              </w:rPr>
              <w:t>В якому семестрі (-ах) викладається</w:t>
            </w:r>
          </w:p>
        </w:tc>
        <w:tc>
          <w:tcPr>
            <w:tcW w:w="2658" w:type="dxa"/>
          </w:tcPr>
          <w:p w14:paraId="10BBA292" w14:textId="20052BD8" w:rsidR="01D79BDF" w:rsidRPr="007C55A4" w:rsidRDefault="007C55A4" w:rsidP="00A32A2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A6E28" w:rsidRPr="00E40DA2" w14:paraId="3362FE0A" w14:textId="77777777" w:rsidTr="187D3790">
        <w:tc>
          <w:tcPr>
            <w:tcW w:w="2943" w:type="dxa"/>
            <w:vMerge/>
          </w:tcPr>
          <w:p w14:paraId="44EAFD9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D3DB6E" w14:textId="77777777" w:rsidR="00BA6E28" w:rsidRPr="00E40DA2" w:rsidRDefault="00BA6E28" w:rsidP="001E6851">
            <w:pPr>
              <w:spacing w:after="60"/>
            </w:pPr>
            <w:r w:rsidRPr="00E40DA2">
              <w:t>Обсяг дисципліни (годин / ECTS)</w:t>
            </w:r>
          </w:p>
        </w:tc>
        <w:tc>
          <w:tcPr>
            <w:tcW w:w="2658" w:type="dxa"/>
          </w:tcPr>
          <w:p w14:paraId="0174C1E7" w14:textId="77777777" w:rsidR="00BA6E28" w:rsidRPr="00E40DA2" w:rsidRDefault="00BA6E28" w:rsidP="001E6851">
            <w:pPr>
              <w:spacing w:after="60"/>
            </w:pPr>
            <w:r w:rsidRPr="00E40DA2">
              <w:t>180/6</w:t>
            </w:r>
          </w:p>
        </w:tc>
      </w:tr>
      <w:tr w:rsidR="00BA6E28" w:rsidRPr="00E40DA2" w14:paraId="0CCE3818" w14:textId="77777777" w:rsidTr="187D3790">
        <w:tc>
          <w:tcPr>
            <w:tcW w:w="2943" w:type="dxa"/>
            <w:vMerge/>
          </w:tcPr>
          <w:p w14:paraId="4B94D5A5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0C88CEF" w14:textId="77777777" w:rsidR="00BA6E28" w:rsidRPr="00E40DA2" w:rsidRDefault="00BA6E28" w:rsidP="001E6851">
            <w:pPr>
              <w:spacing w:after="60"/>
            </w:pPr>
            <w:r w:rsidRPr="00E40DA2">
              <w:t>Тижневе навантаження</w:t>
            </w:r>
          </w:p>
        </w:tc>
        <w:tc>
          <w:tcPr>
            <w:tcW w:w="2658" w:type="dxa"/>
          </w:tcPr>
          <w:p w14:paraId="0902F922" w14:textId="77777777" w:rsidR="00BA6E28" w:rsidRPr="00E40DA2" w:rsidRDefault="00BA6E28" w:rsidP="001E6851">
            <w:pPr>
              <w:spacing w:after="60"/>
            </w:pPr>
            <w:r w:rsidRPr="00E40DA2">
              <w:t>4 години</w:t>
            </w:r>
          </w:p>
        </w:tc>
      </w:tr>
      <w:tr w:rsidR="00CE7CF4" w:rsidRPr="00E40DA2" w14:paraId="3190D9B3" w14:textId="77777777" w:rsidTr="187D3790">
        <w:tc>
          <w:tcPr>
            <w:tcW w:w="2943" w:type="dxa"/>
            <w:vMerge/>
          </w:tcPr>
          <w:p w14:paraId="3DEEC669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576BE8" w14:textId="77777777" w:rsidR="00BA6E28" w:rsidRPr="00E40DA2" w:rsidRDefault="00BA6E28" w:rsidP="001E6851">
            <w:pPr>
              <w:spacing w:after="60"/>
            </w:pPr>
            <w:r w:rsidRPr="00E40DA2">
              <w:t>Мова викладання</w:t>
            </w:r>
          </w:p>
        </w:tc>
        <w:tc>
          <w:tcPr>
            <w:tcW w:w="2658" w:type="dxa"/>
          </w:tcPr>
          <w:p w14:paraId="05C4EE65" w14:textId="5CE88884" w:rsidR="00BA6E28" w:rsidRPr="00E40DA2" w:rsidRDefault="00382B26" w:rsidP="001E6851">
            <w:pPr>
              <w:spacing w:after="60"/>
            </w:pPr>
            <w:r>
              <w:t>Українська</w:t>
            </w:r>
          </w:p>
        </w:tc>
      </w:tr>
      <w:tr w:rsidR="00CE7CF4" w:rsidRPr="00E40DA2" w14:paraId="5EEB4B27" w14:textId="77777777" w:rsidTr="187D3790">
        <w:tc>
          <w:tcPr>
            <w:tcW w:w="2943" w:type="dxa"/>
            <w:vMerge/>
          </w:tcPr>
          <w:p w14:paraId="3656B9AB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082B2395" w14:textId="77777777" w:rsidR="00BA6E28" w:rsidRPr="00E40DA2" w:rsidRDefault="00BA6E28" w:rsidP="001E6851">
            <w:pPr>
              <w:spacing w:after="60"/>
            </w:pPr>
            <w:r w:rsidRPr="00E40DA2">
              <w:t>Статус дисципліни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435A83B" w14:textId="77777777" w:rsidR="00BA6E28" w:rsidRPr="00E40DA2" w:rsidRDefault="00BA6E28" w:rsidP="001E6851">
            <w:pPr>
              <w:spacing w:after="60"/>
            </w:pPr>
            <w:r w:rsidRPr="00E40DA2">
              <w:t>Вибіркова</w:t>
            </w:r>
          </w:p>
        </w:tc>
      </w:tr>
    </w:tbl>
    <w:p w14:paraId="45FB0818" w14:textId="77777777" w:rsidR="00BA6E28" w:rsidRPr="00E40DA2" w:rsidRDefault="00BA6E28"/>
    <w:p w14:paraId="00EC8A1F" w14:textId="77777777" w:rsidR="003500F3" w:rsidRPr="00E40DA2" w:rsidRDefault="00302969" w:rsidP="00C2334D">
      <w:pPr>
        <w:pStyle w:val="2"/>
      </w:pPr>
      <w:r w:rsidRPr="00E40DA2">
        <w:t>Інформація про викладача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302969" w:rsidRPr="00E40DA2" w14:paraId="23EB4FC1" w14:textId="77777777" w:rsidTr="414DED05">
        <w:tc>
          <w:tcPr>
            <w:tcW w:w="3652" w:type="dxa"/>
            <w:tcBorders>
              <w:bottom w:val="single" w:sz="4" w:space="0" w:color="auto"/>
            </w:tcBorders>
          </w:tcPr>
          <w:p w14:paraId="2F914154" w14:textId="77777777" w:rsidR="00302969" w:rsidRPr="00E40DA2" w:rsidRDefault="00302969" w:rsidP="001E6851">
            <w:pPr>
              <w:spacing w:after="60"/>
              <w:jc w:val="left"/>
            </w:pPr>
            <w:r w:rsidRPr="00E40DA2">
              <w:t>Прізвище, ім’я та</w:t>
            </w:r>
            <w:r w:rsidR="008C1D77" w:rsidRPr="00E40DA2">
              <w:t> </w:t>
            </w:r>
            <w:r w:rsidRPr="00E40DA2">
              <w:t>по</w:t>
            </w:r>
            <w:r w:rsidR="00FE25F6" w:rsidRPr="00E40DA2">
              <w:t> </w:t>
            </w:r>
            <w:r w:rsidRPr="00E40DA2">
              <w:t>батькові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4C4B4502" w14:textId="75C9BF18" w:rsidR="00302969" w:rsidRPr="00E40DA2" w:rsidRDefault="00382B26" w:rsidP="001E6851">
            <w:pPr>
              <w:spacing w:after="60"/>
              <w:jc w:val="left"/>
            </w:pPr>
            <w:r>
              <w:t>Мельничук Марина Олексіївна</w:t>
            </w:r>
          </w:p>
        </w:tc>
      </w:tr>
      <w:tr w:rsidR="008C1D77" w:rsidRPr="00E40DA2" w14:paraId="7203B5D0" w14:textId="77777777" w:rsidTr="414DED0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F4D839F" w14:textId="77777777" w:rsidR="008C1D77" w:rsidRPr="00E40DA2" w:rsidRDefault="008C1D77" w:rsidP="001E6851">
            <w:pPr>
              <w:spacing w:after="60"/>
              <w:jc w:val="left"/>
            </w:pPr>
            <w:r w:rsidRPr="00E40DA2">
              <w:t>Науковий ступінь,</w:t>
            </w:r>
            <w:r w:rsidR="008042CA" w:rsidRPr="00E40DA2">
              <w:t xml:space="preserve"> </w:t>
            </w:r>
            <w:r w:rsidRPr="00E40DA2">
              <w:t>вчене звання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154A1917" w14:textId="3BA3B91B" w:rsidR="008C1D77" w:rsidRPr="00E40DA2" w:rsidRDefault="00382B26" w:rsidP="001E6851">
            <w:pPr>
              <w:spacing w:after="60"/>
              <w:jc w:val="left"/>
            </w:pPr>
            <w:r>
              <w:t>Кандидат економічних наук</w:t>
            </w:r>
          </w:p>
        </w:tc>
      </w:tr>
      <w:tr w:rsidR="008C1D77" w:rsidRPr="00E40DA2" w14:paraId="6B886041" w14:textId="77777777" w:rsidTr="414DED0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9B3D99D" w14:textId="77777777" w:rsidR="008C1D77" w:rsidRPr="00E40DA2" w:rsidRDefault="00FE25F6" w:rsidP="001E6851">
            <w:pPr>
              <w:spacing w:after="60"/>
              <w:jc w:val="left"/>
            </w:pPr>
            <w:r w:rsidRPr="00E40DA2">
              <w:t>Кафедра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2043BE08" w14:textId="31F2CC18" w:rsidR="008C1D77" w:rsidRPr="00E40DA2" w:rsidRDefault="004961B7" w:rsidP="007C55A4">
            <w:pPr>
              <w:spacing w:after="60"/>
              <w:jc w:val="left"/>
            </w:pPr>
            <w:hyperlink r:id="rId10">
              <w:r w:rsidR="002128D3" w:rsidRPr="414DED05">
                <w:rPr>
                  <w:rStyle w:val="a3"/>
                  <w:lang w:val="ru-RU"/>
                </w:rPr>
                <w:t>М</w:t>
              </w:r>
              <w:r w:rsidR="002128D3" w:rsidRPr="414DED05">
                <w:rPr>
                  <w:rStyle w:val="a3"/>
                </w:rPr>
                <w:t>іжнародного бізнесу, фінансів та обліку</w:t>
              </w:r>
            </w:hyperlink>
            <w:r w:rsidR="00382B26">
              <w:t xml:space="preserve"> </w:t>
            </w:r>
          </w:p>
        </w:tc>
      </w:tr>
      <w:tr w:rsidR="00196E2C" w:rsidRPr="00E40DA2" w14:paraId="1B3C093E" w14:textId="77777777" w:rsidTr="414DED0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39DEAE2C" w14:textId="77777777" w:rsidR="00196E2C" w:rsidRPr="00E40DA2" w:rsidRDefault="00196E2C" w:rsidP="001E6851">
            <w:pPr>
              <w:spacing w:after="60"/>
              <w:jc w:val="left"/>
            </w:pPr>
            <w:r w:rsidRPr="00E40DA2">
              <w:t>Посада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42505DAB" w14:textId="375824E6" w:rsidR="00196E2C" w:rsidRPr="00E40DA2" w:rsidRDefault="00382B26" w:rsidP="001E6851">
            <w:pPr>
              <w:spacing w:after="60"/>
              <w:jc w:val="left"/>
            </w:pPr>
            <w:r>
              <w:t>Старший викладач кафедри економіки та обліку</w:t>
            </w:r>
          </w:p>
        </w:tc>
      </w:tr>
      <w:tr w:rsidR="0018313A" w:rsidRPr="00E40DA2" w14:paraId="50C4C36C" w14:textId="77777777" w:rsidTr="414DED0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09D9C3F1" w14:textId="77777777" w:rsidR="0018313A" w:rsidRPr="00821EA7" w:rsidRDefault="00821EA7" w:rsidP="001E6851">
            <w:pPr>
              <w:spacing w:after="60"/>
              <w:jc w:val="left"/>
              <w:rPr>
                <w:lang w:val="ru-RU"/>
              </w:rPr>
            </w:pPr>
            <w:r>
              <w:t>П</w:t>
            </w:r>
            <w:r w:rsidR="0018313A" w:rsidRPr="00E40DA2">
              <w:t>рофіль</w:t>
            </w:r>
            <w:r>
              <w:t xml:space="preserve"> викладача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418E67C8" w14:textId="449EF4DB" w:rsidR="00382B26" w:rsidRPr="00821EA7" w:rsidRDefault="004961B7" w:rsidP="007C55A4">
            <w:pPr>
              <w:spacing w:after="60"/>
              <w:jc w:val="left"/>
            </w:pPr>
            <w:hyperlink r:id="rId11" w:history="1">
              <w:r w:rsidR="007C55A4">
                <w:rPr>
                  <w:rStyle w:val="a3"/>
                </w:rPr>
                <w:t>Googl Sholar</w:t>
              </w:r>
            </w:hyperlink>
          </w:p>
        </w:tc>
      </w:tr>
      <w:tr w:rsidR="00487FE9" w:rsidRPr="00E40DA2" w14:paraId="3D97B2E5" w14:textId="77777777" w:rsidTr="414DED05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4AA9B75F" w14:textId="77777777" w:rsidR="00487FE9" w:rsidRPr="00E40DA2" w:rsidRDefault="00C20D0C" w:rsidP="001E6851">
            <w:pPr>
              <w:spacing w:after="60"/>
              <w:jc w:val="left"/>
            </w:pPr>
            <w:r w:rsidRPr="00E40DA2">
              <w:t>Контактна інформація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14:paraId="5C8DEC56" w14:textId="7EE4AEFD" w:rsidR="00487FE9" w:rsidRPr="00E40DA2" w:rsidRDefault="008D272B" w:rsidP="008D272B">
            <w:pPr>
              <w:spacing w:after="60"/>
              <w:jc w:val="left"/>
            </w:pPr>
            <w:r w:rsidRPr="008D272B">
              <w:t>mo.melnychuk@knute.edu.ua</w:t>
            </w:r>
          </w:p>
        </w:tc>
      </w:tr>
    </w:tbl>
    <w:p w14:paraId="7820CDE2" w14:textId="77777777" w:rsidR="00632267" w:rsidRPr="004961B7" w:rsidRDefault="00632267" w:rsidP="009635B1">
      <w:pPr>
        <w:pStyle w:val="2"/>
      </w:pPr>
    </w:p>
    <w:p w14:paraId="52509215" w14:textId="77777777" w:rsidR="009635B1" w:rsidRPr="00E40DA2" w:rsidRDefault="009635B1" w:rsidP="009635B1">
      <w:pPr>
        <w:pStyle w:val="2"/>
      </w:pPr>
      <w:r>
        <w:t>Анотація</w:t>
      </w:r>
    </w:p>
    <w:p w14:paraId="38623FF4" w14:textId="73816FCA" w:rsidR="0097643D" w:rsidRDefault="00A32A23" w:rsidP="00A32A23">
      <w:pPr>
        <w:pStyle w:val="2"/>
        <w:spacing w:after="0"/>
        <w:jc w:val="both"/>
      </w:pP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Дисципліна «Облікова політика 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>підприємства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» спрямована 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 xml:space="preserve">на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>дослідження концептуальних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>положень, формування наукового світогляду та систематизацію наявних теоретичних знань,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практичних матеріалів про об’єкти та господарські операції 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>підприємства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 в фінансовому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>обліку й звітності, їх систематизацію, а також узагальнення нормативно-розпорядчих документів з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організації та методики формування облікової політики 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>підприємства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>. Дисципліна орієнтує на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>побудов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>у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 навичок ідентифікації облікової системи в інформаційному забезпеченні діяльності 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>підприємства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 та визначення її структурних складових; вивчення методики, організації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формування і ведення облікової політики </w:t>
      </w:r>
      <w:r w:rsidR="006B6A7F">
        <w:rPr>
          <w:rFonts w:eastAsiaTheme="minorHAnsi" w:cs="Times New Roman"/>
          <w:b w:val="0"/>
          <w:bCs w:val="0"/>
          <w:sz w:val="24"/>
          <w:szCs w:val="20"/>
        </w:rPr>
        <w:t>підприємства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 xml:space="preserve"> з використанням прогресивних форм,</w:t>
      </w:r>
      <w:r>
        <w:rPr>
          <w:rFonts w:eastAsiaTheme="minorHAnsi" w:cs="Times New Roman"/>
          <w:b w:val="0"/>
          <w:bCs w:val="0"/>
          <w:sz w:val="24"/>
          <w:szCs w:val="20"/>
        </w:rPr>
        <w:t xml:space="preserve"> </w:t>
      </w:r>
      <w:r w:rsidRPr="00A32A23">
        <w:rPr>
          <w:rFonts w:eastAsiaTheme="minorHAnsi" w:cs="Times New Roman"/>
          <w:b w:val="0"/>
          <w:bCs w:val="0"/>
          <w:sz w:val="24"/>
          <w:szCs w:val="20"/>
        </w:rPr>
        <w:t>міжнародних та національних стандартів обліку й звітності.</w:t>
      </w:r>
    </w:p>
    <w:p w14:paraId="7D6FC016" w14:textId="77777777" w:rsidR="00A32A23" w:rsidRDefault="00A32A23" w:rsidP="00C2334D">
      <w:pPr>
        <w:pStyle w:val="2"/>
      </w:pPr>
    </w:p>
    <w:p w14:paraId="4DD63759" w14:textId="77777777" w:rsidR="00F82D54" w:rsidRPr="00E40DA2" w:rsidRDefault="00F82D54" w:rsidP="00C2334D">
      <w:pPr>
        <w:pStyle w:val="2"/>
      </w:pPr>
      <w:r w:rsidRPr="00E40DA2">
        <w:t>Мета дисципліни</w:t>
      </w:r>
    </w:p>
    <w:p w14:paraId="4B23D2FE" w14:textId="4ECC832D" w:rsidR="0097643D" w:rsidRDefault="008D272B" w:rsidP="006B6A7F">
      <w:pPr>
        <w:spacing w:after="0"/>
      </w:pPr>
      <w:r>
        <w:t xml:space="preserve">Надання </w:t>
      </w:r>
      <w:r w:rsidR="0097643D">
        <w:t xml:space="preserve">майбутнім фахівцям </w:t>
      </w:r>
      <w:r>
        <w:t>необхідних теоретичних основ, методичних рекомендацій і практичних навичок</w:t>
      </w:r>
      <w:r w:rsidR="003D5643">
        <w:t xml:space="preserve"> </w:t>
      </w:r>
      <w:r w:rsidR="006B6A7F" w:rsidRPr="006B6A7F">
        <w:t xml:space="preserve">про сучасні підходи </w:t>
      </w:r>
      <w:r w:rsidR="00AF141B" w:rsidRPr="00AF141B">
        <w:t>розробк</w:t>
      </w:r>
      <w:r w:rsidR="00AF141B">
        <w:t>и</w:t>
      </w:r>
      <w:r w:rsidR="00AF141B" w:rsidRPr="00AF141B">
        <w:t>, формування, оформлення та затвердження облікової політики підприємств з урахуванням вимог нормативно-правового регламентування, організаційно-технологічних особливостей діяльності підприємств, а також наслідків впливу обраної облікової політики на фінансову звітність підприємства.</w:t>
      </w:r>
    </w:p>
    <w:p w14:paraId="32E0F30D" w14:textId="77777777" w:rsidR="006B6A7F" w:rsidRDefault="006B6A7F" w:rsidP="006B6A7F">
      <w:pPr>
        <w:spacing w:after="0"/>
      </w:pPr>
    </w:p>
    <w:p w14:paraId="03F779CC" w14:textId="77777777" w:rsidR="008E1923" w:rsidRPr="00E40DA2" w:rsidRDefault="008E1923" w:rsidP="008E1923">
      <w:pPr>
        <w:pStyle w:val="2"/>
      </w:pPr>
      <w:r w:rsidRPr="00E40DA2">
        <w:t>У результаті вивчення дисципліни студент буде</w:t>
      </w:r>
    </w:p>
    <w:p w14:paraId="0B6B1EDF" w14:textId="77777777" w:rsidR="003D5643" w:rsidRDefault="00093A0F" w:rsidP="003D5643">
      <w:pPr>
        <w:rPr>
          <w:i/>
        </w:rPr>
      </w:pPr>
      <w:r w:rsidRPr="00E40DA2">
        <w:rPr>
          <w:i/>
        </w:rPr>
        <w:t>знати:</w:t>
      </w:r>
      <w:r w:rsidR="003D5643">
        <w:rPr>
          <w:i/>
        </w:rPr>
        <w:t xml:space="preserve"> </w:t>
      </w:r>
    </w:p>
    <w:p w14:paraId="37BC29E3" w14:textId="77777777" w:rsidR="003D5643" w:rsidRDefault="003D5643" w:rsidP="003D5643">
      <w:pPr>
        <w:spacing w:after="0"/>
      </w:pPr>
      <w:r>
        <w:lastRenderedPageBreak/>
        <w:t xml:space="preserve">- зміст нормативних документів, що регламентують правові засади формування облікової політики підприємства; </w:t>
      </w:r>
    </w:p>
    <w:p w14:paraId="47E0E916" w14:textId="77777777" w:rsidR="003D5643" w:rsidRDefault="003D5643" w:rsidP="003D5643">
      <w:pPr>
        <w:spacing w:after="0"/>
      </w:pPr>
      <w:r>
        <w:t>− теоретичні основи формування облікової політики;</w:t>
      </w:r>
    </w:p>
    <w:p w14:paraId="28B3D896" w14:textId="77777777" w:rsidR="003D5643" w:rsidRDefault="003D5643" w:rsidP="003D5643">
      <w:pPr>
        <w:spacing w:after="0"/>
      </w:pPr>
      <w:r>
        <w:t>− вимоги до розкриття облікової політики;</w:t>
      </w:r>
      <w:r w:rsidRPr="003D5643">
        <w:t xml:space="preserve"> </w:t>
      </w:r>
    </w:p>
    <w:p w14:paraId="6C213421" w14:textId="77777777" w:rsidR="003D5643" w:rsidRDefault="003D5643" w:rsidP="003D5643">
      <w:pPr>
        <w:spacing w:after="0"/>
      </w:pPr>
      <w:r>
        <w:t xml:space="preserve">- галузеві особливості різних підприємств та ступінь їх впливу на формування облікової політики; принципи і фактори, що впливають на формування облікової політики підприємства; </w:t>
      </w:r>
    </w:p>
    <w:p w14:paraId="05504640" w14:textId="77777777" w:rsidR="003D5643" w:rsidRDefault="003D5643" w:rsidP="003D5643">
      <w:pPr>
        <w:spacing w:after="0"/>
      </w:pPr>
      <w:r>
        <w:t xml:space="preserve">- основні методичні та організаційні елементи облікової політики; </w:t>
      </w:r>
    </w:p>
    <w:p w14:paraId="6B1B02FA" w14:textId="78E41505" w:rsidR="003D5643" w:rsidRDefault="003D5643" w:rsidP="003D5643">
      <w:pPr>
        <w:spacing w:after="0"/>
      </w:pPr>
      <w:r>
        <w:t>- зміст, недоліки та переваги альтернативних методів оцінки та обліку окремих видів активів, зобов’язань, доходів, витрат і фінансових результатів; умови та способи внесення змін в облікову політику підприємства</w:t>
      </w:r>
      <w:r w:rsidR="476FC1F4">
        <w:t>;</w:t>
      </w:r>
    </w:p>
    <w:p w14:paraId="0DC2A159" w14:textId="77777777" w:rsidR="003D5643" w:rsidRDefault="00093A0F" w:rsidP="003D5643">
      <w:pPr>
        <w:rPr>
          <w:i/>
        </w:rPr>
      </w:pPr>
      <w:r w:rsidRPr="00E40DA2">
        <w:rPr>
          <w:i/>
        </w:rPr>
        <w:t>вміти:</w:t>
      </w:r>
    </w:p>
    <w:p w14:paraId="45EBB2E9" w14:textId="77777777" w:rsidR="003D5643" w:rsidRDefault="003D5643" w:rsidP="003D5643">
      <w:pPr>
        <w:spacing w:after="0"/>
      </w:pPr>
      <w:r w:rsidRPr="003D5643">
        <w:t>- вільно застосовувати набуті теоретичні знання для формування облікової політики</w:t>
      </w:r>
      <w:r>
        <w:t xml:space="preserve"> </w:t>
      </w:r>
      <w:r w:rsidRPr="003D5643">
        <w:t xml:space="preserve">підприємства; </w:t>
      </w:r>
    </w:p>
    <w:p w14:paraId="26734B1F" w14:textId="77777777" w:rsidR="003D5643" w:rsidRDefault="003D5643" w:rsidP="003D5643">
      <w:pPr>
        <w:spacing w:after="0"/>
      </w:pPr>
      <w:r w:rsidRPr="003D5643">
        <w:t>− обирати елементи політики, здійснювати її формалізацію;</w:t>
      </w:r>
    </w:p>
    <w:p w14:paraId="371928C2" w14:textId="7ACB2BA5" w:rsidR="003D5643" w:rsidRDefault="003D5643" w:rsidP="003D5643">
      <w:pPr>
        <w:spacing w:after="0"/>
      </w:pPr>
      <w:r w:rsidRPr="003D5643">
        <w:t>− використовувати облікову інформацію в процесі управління</w:t>
      </w:r>
      <w:r>
        <w:t xml:space="preserve"> </w:t>
      </w:r>
      <w:r w:rsidRPr="003D5643">
        <w:t>діяльністю підприємства</w:t>
      </w:r>
      <w:r>
        <w:t>;</w:t>
      </w:r>
      <w:r w:rsidRPr="003D5643">
        <w:t xml:space="preserve"> </w:t>
      </w:r>
    </w:p>
    <w:p w14:paraId="72AD3E2E" w14:textId="4F634899" w:rsidR="003D5643" w:rsidRDefault="003D5643" w:rsidP="003D5643">
      <w:pPr>
        <w:spacing w:after="0"/>
      </w:pPr>
      <w:r>
        <w:t xml:space="preserve">- </w:t>
      </w:r>
      <w:r w:rsidRPr="003D5643">
        <w:t>складати розпорядчий документ про облікову політику підприємств різних</w:t>
      </w:r>
      <w:r>
        <w:t xml:space="preserve"> </w:t>
      </w:r>
      <w:r w:rsidRPr="003D5643">
        <w:t>організаційно–</w:t>
      </w:r>
      <w:r>
        <w:t>п</w:t>
      </w:r>
      <w:r w:rsidRPr="003D5643">
        <w:t xml:space="preserve">равових форм господарювання; </w:t>
      </w:r>
    </w:p>
    <w:p w14:paraId="52913136" w14:textId="77777777" w:rsidR="003D5643" w:rsidRDefault="003D5643" w:rsidP="003D5643">
      <w:pPr>
        <w:spacing w:after="0"/>
      </w:pPr>
      <w:r>
        <w:t xml:space="preserve">- </w:t>
      </w:r>
      <w:r w:rsidRPr="003D5643">
        <w:t>обґрунтовувати</w:t>
      </w:r>
      <w:r>
        <w:t xml:space="preserve"> </w:t>
      </w:r>
      <w:r w:rsidRPr="003D5643">
        <w:t>економічну доцільність та оптимальність обраного варіанту обліку і прогнозувати наслідки</w:t>
      </w:r>
      <w:r>
        <w:t xml:space="preserve"> </w:t>
      </w:r>
      <w:r w:rsidRPr="003D5643">
        <w:t xml:space="preserve">прийнятого рішення; </w:t>
      </w:r>
    </w:p>
    <w:p w14:paraId="6B437759" w14:textId="59341700" w:rsidR="003D5643" w:rsidRDefault="003D5643" w:rsidP="003D5643">
      <w:pPr>
        <w:spacing w:after="0"/>
        <w:rPr>
          <w:b/>
          <w:bCs/>
        </w:rPr>
      </w:pPr>
      <w:r>
        <w:t xml:space="preserve">- </w:t>
      </w:r>
      <w:r w:rsidRPr="003D5643">
        <w:t>оцінювати вплив обраної облікової політики на показники фінансової</w:t>
      </w:r>
      <w:r>
        <w:t xml:space="preserve"> </w:t>
      </w:r>
      <w:r w:rsidRPr="003D5643">
        <w:t>звітності підприємства та на його фінансовий стан.</w:t>
      </w:r>
    </w:p>
    <w:p w14:paraId="13AA17BF" w14:textId="77777777" w:rsidR="003D5643" w:rsidRPr="003D5643" w:rsidRDefault="003D5643" w:rsidP="003D5643"/>
    <w:p w14:paraId="5F2C0B85" w14:textId="6601B9D8" w:rsidR="002A451E" w:rsidRPr="00E40DA2" w:rsidRDefault="002A451E" w:rsidP="003D5643">
      <w:pPr>
        <w:pStyle w:val="2"/>
      </w:pPr>
      <w:r w:rsidRPr="00E40DA2">
        <w:t>Передумови вивчення дисципліни</w:t>
      </w:r>
    </w:p>
    <w:p w14:paraId="4B99056E" w14:textId="69501DFC" w:rsidR="002A451E" w:rsidRPr="00E40DA2" w:rsidRDefault="00632267" w:rsidP="005A52E9">
      <w:pPr>
        <w:spacing w:after="0"/>
      </w:pPr>
      <w:r>
        <w:t>Знання основ економіки та бухгалтерського обліку</w:t>
      </w:r>
      <w:r w:rsidR="005A52E9">
        <w:t>.</w:t>
      </w:r>
    </w:p>
    <w:p w14:paraId="4530BB44" w14:textId="77777777" w:rsidR="005A52E9" w:rsidRDefault="005A52E9" w:rsidP="00036D30">
      <w:pPr>
        <w:pStyle w:val="2"/>
      </w:pPr>
    </w:p>
    <w:p w14:paraId="62DAF83E" w14:textId="77777777" w:rsidR="00B71534" w:rsidRPr="00E40DA2" w:rsidRDefault="00036D30" w:rsidP="00036D30">
      <w:pPr>
        <w:pStyle w:val="2"/>
      </w:pPr>
      <w:r w:rsidRPr="00E40DA2">
        <w:t>Програма дисципліни</w:t>
      </w:r>
    </w:p>
    <w:p w14:paraId="418E0BC9" w14:textId="7A4CFC6A" w:rsidR="002A56F0" w:rsidRPr="00396AE3" w:rsidRDefault="00451AC5" w:rsidP="00632267">
      <w:pPr>
        <w:spacing w:after="0"/>
        <w:rPr>
          <w:i/>
          <w:szCs w:val="30"/>
        </w:rPr>
      </w:pPr>
      <w:bookmarkStart w:id="0" w:name="OLE_LINK78"/>
      <w:bookmarkStart w:id="1" w:name="OLE_LINK79"/>
      <w:bookmarkStart w:id="2" w:name="OLE_LINK80"/>
      <w:bookmarkStart w:id="3" w:name="OLE_LINK81"/>
      <w:r w:rsidRPr="00396AE3">
        <w:rPr>
          <w:i/>
          <w:szCs w:val="30"/>
        </w:rPr>
        <w:t xml:space="preserve">Тема 1. </w:t>
      </w:r>
      <w:r w:rsidR="00396AE3" w:rsidRPr="00396AE3">
        <w:rPr>
          <w:i/>
          <w:szCs w:val="30"/>
        </w:rPr>
        <w:t>Сутність об</w:t>
      </w:r>
      <w:r w:rsidR="00632267">
        <w:rPr>
          <w:i/>
          <w:szCs w:val="30"/>
        </w:rPr>
        <w:t>лікової політики та її складові</w:t>
      </w:r>
    </w:p>
    <w:p w14:paraId="0F4E7732" w14:textId="77777777" w:rsidR="00396AE3" w:rsidRDefault="00396AE3" w:rsidP="00632267">
      <w:pPr>
        <w:spacing w:after="0"/>
        <w:rPr>
          <w:szCs w:val="30"/>
        </w:rPr>
      </w:pPr>
      <w:r w:rsidRPr="00396AE3">
        <w:rPr>
          <w:szCs w:val="30"/>
        </w:rPr>
        <w:t>Облікова політика як інструмент управління підприємством у ринкових умовах</w:t>
      </w:r>
      <w:r>
        <w:rPr>
          <w:szCs w:val="30"/>
        </w:rPr>
        <w:t xml:space="preserve"> </w:t>
      </w:r>
      <w:r w:rsidRPr="00396AE3">
        <w:rPr>
          <w:szCs w:val="30"/>
        </w:rPr>
        <w:t>господарювання.</w:t>
      </w:r>
      <w:r>
        <w:rPr>
          <w:szCs w:val="30"/>
        </w:rPr>
        <w:t xml:space="preserve"> </w:t>
      </w:r>
      <w:r w:rsidRPr="00396AE3">
        <w:rPr>
          <w:szCs w:val="30"/>
        </w:rPr>
        <w:t>Визначення та семантика поняття «облікова політика».</w:t>
      </w:r>
      <w:r>
        <w:rPr>
          <w:szCs w:val="30"/>
        </w:rPr>
        <w:t xml:space="preserve"> </w:t>
      </w:r>
      <w:r w:rsidRPr="00396AE3">
        <w:rPr>
          <w:szCs w:val="30"/>
        </w:rPr>
        <w:t>Суб’єкти, об’єкти, інструменти та елементи облікової політики. Мета формування</w:t>
      </w:r>
      <w:r>
        <w:rPr>
          <w:szCs w:val="30"/>
        </w:rPr>
        <w:t xml:space="preserve"> </w:t>
      </w:r>
      <w:r w:rsidRPr="00396AE3">
        <w:rPr>
          <w:szCs w:val="30"/>
        </w:rPr>
        <w:t>облікової політики підприємства.</w:t>
      </w:r>
      <w:r>
        <w:rPr>
          <w:szCs w:val="30"/>
        </w:rPr>
        <w:t xml:space="preserve"> </w:t>
      </w:r>
      <w:r w:rsidRPr="00396AE3">
        <w:rPr>
          <w:szCs w:val="30"/>
        </w:rPr>
        <w:t>Рівні регулювання облікової політики.</w:t>
      </w:r>
      <w:r>
        <w:rPr>
          <w:szCs w:val="30"/>
        </w:rPr>
        <w:t xml:space="preserve"> </w:t>
      </w:r>
      <w:r w:rsidRPr="00396AE3">
        <w:rPr>
          <w:szCs w:val="30"/>
        </w:rPr>
        <w:t>Принципи, методи та процедури бухгалтерського обліку в системі облікової політики.</w:t>
      </w:r>
      <w:r>
        <w:rPr>
          <w:szCs w:val="30"/>
        </w:rPr>
        <w:t xml:space="preserve"> </w:t>
      </w:r>
      <w:r w:rsidRPr="00396AE3">
        <w:rPr>
          <w:szCs w:val="30"/>
        </w:rPr>
        <w:t>Підходи до формування облікової політики за П(С)БО та МСБО.</w:t>
      </w:r>
      <w:r>
        <w:rPr>
          <w:szCs w:val="30"/>
        </w:rPr>
        <w:t xml:space="preserve"> </w:t>
      </w:r>
      <w:r w:rsidRPr="00396AE3">
        <w:rPr>
          <w:szCs w:val="30"/>
        </w:rPr>
        <w:t>Вплив професійного судження бухгалтера на формування облікової політики.</w:t>
      </w:r>
    </w:p>
    <w:p w14:paraId="7705E672" w14:textId="77777777" w:rsidR="00632267" w:rsidRDefault="00632267" w:rsidP="00632267">
      <w:pPr>
        <w:spacing w:after="0"/>
        <w:rPr>
          <w:szCs w:val="30"/>
        </w:rPr>
      </w:pPr>
    </w:p>
    <w:p w14:paraId="43201204" w14:textId="767C7048" w:rsidR="00396AE3" w:rsidRDefault="002A56F0" w:rsidP="00632267">
      <w:pPr>
        <w:spacing w:after="0"/>
        <w:rPr>
          <w:i/>
          <w:szCs w:val="30"/>
        </w:rPr>
      </w:pPr>
      <w:r w:rsidRPr="00396AE3">
        <w:rPr>
          <w:i/>
          <w:szCs w:val="30"/>
        </w:rPr>
        <w:t xml:space="preserve">Тема 2. </w:t>
      </w:r>
      <w:r w:rsidR="00396AE3" w:rsidRPr="00396AE3">
        <w:rPr>
          <w:i/>
          <w:szCs w:val="30"/>
        </w:rPr>
        <w:t>Порядок та етапи формування облікової політики підприємства</w:t>
      </w:r>
    </w:p>
    <w:p w14:paraId="78ED0142" w14:textId="77777777" w:rsidR="00396AE3" w:rsidRDefault="00396AE3" w:rsidP="00632267">
      <w:pPr>
        <w:spacing w:after="0"/>
        <w:rPr>
          <w:szCs w:val="30"/>
        </w:rPr>
      </w:pPr>
      <w:r w:rsidRPr="00396AE3">
        <w:rPr>
          <w:szCs w:val="30"/>
        </w:rPr>
        <w:t>Чинники що впливають на формування облікової політики підприємства.</w:t>
      </w:r>
      <w:r>
        <w:rPr>
          <w:szCs w:val="30"/>
        </w:rPr>
        <w:t xml:space="preserve"> </w:t>
      </w:r>
      <w:r w:rsidRPr="00396AE3">
        <w:rPr>
          <w:szCs w:val="30"/>
        </w:rPr>
        <w:t>Внесення змін до облікової політики. Облікові оцінки. Розкриття інформації про зміни в</w:t>
      </w:r>
      <w:r>
        <w:rPr>
          <w:szCs w:val="30"/>
        </w:rPr>
        <w:t xml:space="preserve"> </w:t>
      </w:r>
      <w:r w:rsidRPr="00396AE3">
        <w:rPr>
          <w:szCs w:val="30"/>
        </w:rPr>
        <w:t>обліковій політиці.</w:t>
      </w:r>
      <w:r>
        <w:rPr>
          <w:szCs w:val="30"/>
        </w:rPr>
        <w:t xml:space="preserve"> </w:t>
      </w:r>
      <w:r w:rsidRPr="00396AE3">
        <w:rPr>
          <w:szCs w:val="30"/>
        </w:rPr>
        <w:t>Розпорядчий документ про облікову політику. Структура та порядок складання.</w:t>
      </w:r>
      <w:r>
        <w:rPr>
          <w:szCs w:val="30"/>
        </w:rPr>
        <w:t xml:space="preserve"> </w:t>
      </w:r>
      <w:r w:rsidRPr="00396AE3">
        <w:rPr>
          <w:szCs w:val="30"/>
        </w:rPr>
        <w:t>Імперативні та альтернативні норми діючого законодавства.</w:t>
      </w:r>
      <w:r>
        <w:rPr>
          <w:szCs w:val="30"/>
        </w:rPr>
        <w:t xml:space="preserve"> </w:t>
      </w:r>
      <w:r w:rsidRPr="00396AE3">
        <w:rPr>
          <w:szCs w:val="30"/>
        </w:rPr>
        <w:t>Основні етапи формування облікової політики підприємства.</w:t>
      </w:r>
    </w:p>
    <w:p w14:paraId="5D43626C" w14:textId="77777777" w:rsidR="004961B7" w:rsidRDefault="004961B7" w:rsidP="00632267">
      <w:pPr>
        <w:spacing w:after="0"/>
        <w:rPr>
          <w:szCs w:val="30"/>
        </w:rPr>
      </w:pPr>
    </w:p>
    <w:p w14:paraId="5D83684A" w14:textId="6ED4878C" w:rsidR="002A56F0" w:rsidRPr="00396AE3" w:rsidRDefault="002A56F0" w:rsidP="00632267">
      <w:pPr>
        <w:spacing w:after="0"/>
        <w:rPr>
          <w:i/>
          <w:szCs w:val="30"/>
        </w:rPr>
      </w:pPr>
      <w:r w:rsidRPr="00396AE3">
        <w:rPr>
          <w:i/>
          <w:szCs w:val="30"/>
        </w:rPr>
        <w:t xml:space="preserve">Тема 3. </w:t>
      </w:r>
      <w:r w:rsidR="00396AE3" w:rsidRPr="00396AE3">
        <w:rPr>
          <w:i/>
          <w:szCs w:val="30"/>
        </w:rPr>
        <w:t>Організаційно-технічні аспекти формування облікової політики</w:t>
      </w:r>
      <w:r w:rsidR="00396AE3">
        <w:rPr>
          <w:i/>
          <w:szCs w:val="30"/>
        </w:rPr>
        <w:t xml:space="preserve"> </w:t>
      </w:r>
      <w:r w:rsidR="00632267">
        <w:rPr>
          <w:i/>
          <w:szCs w:val="30"/>
        </w:rPr>
        <w:t>підприємства</w:t>
      </w:r>
    </w:p>
    <w:p w14:paraId="21A5A3F8" w14:textId="5557ADDE" w:rsidR="00396AE3" w:rsidRDefault="00396AE3" w:rsidP="00632267">
      <w:pPr>
        <w:spacing w:after="0"/>
        <w:rPr>
          <w:szCs w:val="30"/>
        </w:rPr>
      </w:pPr>
      <w:r w:rsidRPr="00396AE3">
        <w:rPr>
          <w:szCs w:val="30"/>
        </w:rPr>
        <w:t>Організація бухгалтерського обліку на підприємстві. Форма ведення бухгалтерського</w:t>
      </w:r>
      <w:r>
        <w:rPr>
          <w:szCs w:val="30"/>
        </w:rPr>
        <w:t xml:space="preserve"> </w:t>
      </w:r>
      <w:r w:rsidRPr="00396AE3">
        <w:rPr>
          <w:szCs w:val="30"/>
        </w:rPr>
        <w:t>обліку. Форма організації обліку.</w:t>
      </w:r>
      <w:r>
        <w:rPr>
          <w:szCs w:val="30"/>
        </w:rPr>
        <w:t xml:space="preserve"> </w:t>
      </w:r>
      <w:r w:rsidRPr="00396AE3">
        <w:rPr>
          <w:szCs w:val="30"/>
        </w:rPr>
        <w:t>Формування робочого плану рахунків. Терміни та порядок проведення інвентаризацій</w:t>
      </w:r>
      <w:r>
        <w:rPr>
          <w:szCs w:val="30"/>
        </w:rPr>
        <w:t xml:space="preserve"> </w:t>
      </w:r>
      <w:r w:rsidRPr="00396AE3">
        <w:rPr>
          <w:szCs w:val="30"/>
        </w:rPr>
        <w:t>на підприємстві.</w:t>
      </w:r>
      <w:r>
        <w:rPr>
          <w:szCs w:val="30"/>
        </w:rPr>
        <w:t xml:space="preserve"> </w:t>
      </w:r>
      <w:r w:rsidRPr="00396AE3">
        <w:rPr>
          <w:szCs w:val="30"/>
        </w:rPr>
        <w:t xml:space="preserve">Первинні документи. Графіки та схеми </w:t>
      </w:r>
      <w:r w:rsidRPr="00396AE3">
        <w:rPr>
          <w:szCs w:val="30"/>
        </w:rPr>
        <w:lastRenderedPageBreak/>
        <w:t>документообігу.</w:t>
      </w:r>
      <w:r>
        <w:rPr>
          <w:szCs w:val="30"/>
        </w:rPr>
        <w:t xml:space="preserve"> </w:t>
      </w:r>
      <w:r w:rsidRPr="00396AE3">
        <w:rPr>
          <w:szCs w:val="30"/>
        </w:rPr>
        <w:t>Ведення обліку філіями, представництвами та інш</w:t>
      </w:r>
      <w:r w:rsidR="00632267">
        <w:rPr>
          <w:szCs w:val="30"/>
        </w:rPr>
        <w:t>ими відокремленими підрозділами</w:t>
      </w:r>
    </w:p>
    <w:p w14:paraId="1FB602CE" w14:textId="77777777" w:rsidR="00632267" w:rsidRDefault="00632267" w:rsidP="00632267">
      <w:pPr>
        <w:spacing w:after="0"/>
        <w:rPr>
          <w:szCs w:val="30"/>
        </w:rPr>
      </w:pPr>
    </w:p>
    <w:p w14:paraId="5DA19402" w14:textId="27ADFFED" w:rsidR="00396AE3" w:rsidRDefault="002A56F0" w:rsidP="00632267">
      <w:pPr>
        <w:spacing w:after="0"/>
        <w:rPr>
          <w:i/>
          <w:szCs w:val="30"/>
        </w:rPr>
      </w:pPr>
      <w:r w:rsidRPr="00396AE3">
        <w:rPr>
          <w:i/>
          <w:szCs w:val="30"/>
        </w:rPr>
        <w:t xml:space="preserve">Тема 4. </w:t>
      </w:r>
      <w:r w:rsidR="00396AE3" w:rsidRPr="00396AE3">
        <w:rPr>
          <w:i/>
          <w:szCs w:val="30"/>
        </w:rPr>
        <w:t>Формування облікової політи</w:t>
      </w:r>
      <w:r w:rsidR="00632267">
        <w:rPr>
          <w:i/>
          <w:szCs w:val="30"/>
        </w:rPr>
        <w:t>ки стосовно необоротних активів</w:t>
      </w:r>
    </w:p>
    <w:p w14:paraId="1389FD3E" w14:textId="77777777" w:rsidR="00396AE3" w:rsidRDefault="00396AE3" w:rsidP="00632267">
      <w:pPr>
        <w:spacing w:after="0"/>
        <w:rPr>
          <w:szCs w:val="30"/>
        </w:rPr>
      </w:pPr>
      <w:r w:rsidRPr="00396AE3">
        <w:rPr>
          <w:szCs w:val="30"/>
        </w:rPr>
        <w:t>Склад необоротних активів. Формування облікової політики стосовно нематеріальних активів.</w:t>
      </w:r>
      <w:r>
        <w:rPr>
          <w:szCs w:val="30"/>
        </w:rPr>
        <w:t xml:space="preserve"> </w:t>
      </w:r>
      <w:r w:rsidRPr="00396AE3">
        <w:rPr>
          <w:szCs w:val="30"/>
        </w:rPr>
        <w:t>Формування облікової політики стосовно основних засобів та інших необоротних активів.</w:t>
      </w:r>
      <w:r>
        <w:rPr>
          <w:szCs w:val="30"/>
        </w:rPr>
        <w:t xml:space="preserve"> </w:t>
      </w:r>
      <w:r w:rsidRPr="00396AE3">
        <w:rPr>
          <w:szCs w:val="30"/>
        </w:rPr>
        <w:t>Особливості формування облікової політики для цілей оподаткування.</w:t>
      </w:r>
      <w:r>
        <w:rPr>
          <w:szCs w:val="30"/>
        </w:rPr>
        <w:t xml:space="preserve"> </w:t>
      </w:r>
      <w:r w:rsidRPr="00396AE3">
        <w:rPr>
          <w:szCs w:val="30"/>
        </w:rPr>
        <w:t>Методи оцінки необоротних активів. Порівняльна характеристика різних методів нарахування</w:t>
      </w:r>
      <w:r>
        <w:rPr>
          <w:szCs w:val="30"/>
        </w:rPr>
        <w:t xml:space="preserve"> </w:t>
      </w:r>
      <w:r w:rsidRPr="00396AE3">
        <w:rPr>
          <w:szCs w:val="30"/>
        </w:rPr>
        <w:t>амортизації. Строки корисного використання.</w:t>
      </w:r>
      <w:r>
        <w:rPr>
          <w:szCs w:val="30"/>
        </w:rPr>
        <w:t xml:space="preserve"> </w:t>
      </w:r>
      <w:r w:rsidRPr="00396AE3">
        <w:rPr>
          <w:szCs w:val="30"/>
        </w:rPr>
        <w:t>Витрати на ремонти та інші види поліпшень. Інвестиційна та операційна нерухомість.</w:t>
      </w:r>
      <w:r>
        <w:rPr>
          <w:szCs w:val="30"/>
        </w:rPr>
        <w:t xml:space="preserve"> </w:t>
      </w:r>
      <w:r w:rsidRPr="00396AE3">
        <w:rPr>
          <w:szCs w:val="30"/>
        </w:rPr>
        <w:t>Визнання та оцінка необоротних активів та груп вибуття, утримуваних для продажу.</w:t>
      </w:r>
      <w:r>
        <w:rPr>
          <w:szCs w:val="30"/>
        </w:rPr>
        <w:t xml:space="preserve"> </w:t>
      </w:r>
      <w:r w:rsidRPr="00396AE3">
        <w:rPr>
          <w:szCs w:val="30"/>
        </w:rPr>
        <w:t>Особливості формування облікової політики для цілей оподаткування</w:t>
      </w:r>
      <w:r>
        <w:rPr>
          <w:szCs w:val="30"/>
        </w:rPr>
        <w:t>.</w:t>
      </w:r>
    </w:p>
    <w:p w14:paraId="2496548E" w14:textId="77777777" w:rsidR="00632267" w:rsidRDefault="00632267" w:rsidP="00632267">
      <w:pPr>
        <w:spacing w:after="0"/>
        <w:rPr>
          <w:szCs w:val="30"/>
        </w:rPr>
      </w:pPr>
    </w:p>
    <w:p w14:paraId="25A3EC19" w14:textId="681F07A8" w:rsidR="00396AE3" w:rsidRDefault="002A56F0" w:rsidP="00632267">
      <w:pPr>
        <w:spacing w:after="0"/>
        <w:rPr>
          <w:i/>
          <w:szCs w:val="30"/>
        </w:rPr>
      </w:pPr>
      <w:r>
        <w:rPr>
          <w:i/>
          <w:szCs w:val="30"/>
        </w:rPr>
        <w:t xml:space="preserve">Тема </w:t>
      </w:r>
      <w:r w:rsidRPr="002A56F0">
        <w:rPr>
          <w:i/>
          <w:szCs w:val="30"/>
        </w:rPr>
        <w:t xml:space="preserve">5. </w:t>
      </w:r>
      <w:r w:rsidR="00396AE3" w:rsidRPr="00396AE3">
        <w:rPr>
          <w:i/>
          <w:szCs w:val="30"/>
        </w:rPr>
        <w:t>Формування облікової політики стосовно запасів та дебіторської</w:t>
      </w:r>
      <w:r w:rsidR="00396AE3">
        <w:rPr>
          <w:i/>
          <w:szCs w:val="30"/>
        </w:rPr>
        <w:t xml:space="preserve"> </w:t>
      </w:r>
      <w:r w:rsidR="00632267">
        <w:rPr>
          <w:i/>
          <w:szCs w:val="30"/>
        </w:rPr>
        <w:t>заборгованості</w:t>
      </w:r>
    </w:p>
    <w:p w14:paraId="25165DBC" w14:textId="77777777" w:rsidR="00396AE3" w:rsidRDefault="00396AE3" w:rsidP="00632267">
      <w:pPr>
        <w:spacing w:after="0"/>
        <w:rPr>
          <w:szCs w:val="30"/>
        </w:rPr>
      </w:pPr>
      <w:r w:rsidRPr="00396AE3">
        <w:rPr>
          <w:szCs w:val="30"/>
        </w:rPr>
        <w:t>Запаси. Класифікація запасів. Оцінка запасів на дату балансу. Порівняльна характеристика</w:t>
      </w:r>
      <w:r>
        <w:rPr>
          <w:szCs w:val="30"/>
        </w:rPr>
        <w:t xml:space="preserve"> </w:t>
      </w:r>
      <w:r w:rsidRPr="00396AE3">
        <w:rPr>
          <w:szCs w:val="30"/>
        </w:rPr>
        <w:t>методів оцінки запасів при їх вибутті. Особливості обліку транспортно-заготівельних витрат.</w:t>
      </w:r>
      <w:r>
        <w:rPr>
          <w:szCs w:val="30"/>
        </w:rPr>
        <w:t xml:space="preserve"> </w:t>
      </w:r>
      <w:r w:rsidRPr="00396AE3">
        <w:rPr>
          <w:szCs w:val="30"/>
        </w:rPr>
        <w:t>Незавершене виробництво. Методи оцінювання.</w:t>
      </w:r>
      <w:r>
        <w:rPr>
          <w:szCs w:val="30"/>
        </w:rPr>
        <w:t xml:space="preserve"> </w:t>
      </w:r>
      <w:r w:rsidRPr="00396AE3">
        <w:rPr>
          <w:szCs w:val="30"/>
        </w:rPr>
        <w:t>Дебіторська заборгованість. Сумнівна та безнадійна заборгованість. Методи обчислення</w:t>
      </w:r>
      <w:r>
        <w:rPr>
          <w:szCs w:val="30"/>
        </w:rPr>
        <w:t xml:space="preserve"> </w:t>
      </w:r>
      <w:r w:rsidRPr="00396AE3">
        <w:rPr>
          <w:szCs w:val="30"/>
        </w:rPr>
        <w:t>резерву сумнівних боргів.</w:t>
      </w:r>
      <w:r>
        <w:rPr>
          <w:szCs w:val="30"/>
        </w:rPr>
        <w:t xml:space="preserve"> </w:t>
      </w:r>
      <w:r w:rsidRPr="00396AE3">
        <w:rPr>
          <w:szCs w:val="30"/>
        </w:rPr>
        <w:t>Особливості формування облікової політики для цілей оподаткування.</w:t>
      </w:r>
    </w:p>
    <w:p w14:paraId="0975AF78" w14:textId="77777777" w:rsidR="00632267" w:rsidRDefault="00632267" w:rsidP="00632267">
      <w:pPr>
        <w:spacing w:after="0"/>
        <w:rPr>
          <w:szCs w:val="30"/>
        </w:rPr>
      </w:pPr>
    </w:p>
    <w:p w14:paraId="3D8358CA" w14:textId="66DC1AC6" w:rsidR="00396AE3" w:rsidRDefault="002A56F0" w:rsidP="00632267">
      <w:pPr>
        <w:spacing w:after="0"/>
        <w:rPr>
          <w:i/>
          <w:szCs w:val="30"/>
        </w:rPr>
      </w:pPr>
      <w:r>
        <w:rPr>
          <w:i/>
          <w:szCs w:val="30"/>
        </w:rPr>
        <w:t xml:space="preserve">Тема </w:t>
      </w:r>
      <w:r w:rsidR="009827EA">
        <w:rPr>
          <w:i/>
          <w:szCs w:val="30"/>
        </w:rPr>
        <w:t>6</w:t>
      </w:r>
      <w:r w:rsidRPr="002A56F0">
        <w:rPr>
          <w:i/>
          <w:szCs w:val="30"/>
        </w:rPr>
        <w:t xml:space="preserve">. </w:t>
      </w:r>
      <w:r w:rsidR="00396AE3" w:rsidRPr="00396AE3">
        <w:rPr>
          <w:i/>
          <w:szCs w:val="30"/>
        </w:rPr>
        <w:t>Формування облікової політики стосовно витрат та</w:t>
      </w:r>
      <w:r w:rsidR="00396AE3">
        <w:rPr>
          <w:i/>
          <w:szCs w:val="30"/>
        </w:rPr>
        <w:t xml:space="preserve"> </w:t>
      </w:r>
      <w:r w:rsidR="00396AE3" w:rsidRPr="00396AE3">
        <w:rPr>
          <w:i/>
          <w:szCs w:val="30"/>
        </w:rPr>
        <w:t>кальк</w:t>
      </w:r>
      <w:r w:rsidR="00632267">
        <w:rPr>
          <w:i/>
          <w:szCs w:val="30"/>
        </w:rPr>
        <w:t>улювання собівартості продукції</w:t>
      </w:r>
    </w:p>
    <w:p w14:paraId="766F3EB0" w14:textId="77777777" w:rsidR="00396AE3" w:rsidRDefault="00396AE3" w:rsidP="00632267">
      <w:pPr>
        <w:spacing w:after="0"/>
        <w:rPr>
          <w:szCs w:val="30"/>
        </w:rPr>
      </w:pPr>
      <w:r w:rsidRPr="00396AE3">
        <w:rPr>
          <w:szCs w:val="30"/>
        </w:rPr>
        <w:t>Організація управлінського обліку на підприємстві.</w:t>
      </w:r>
      <w:r>
        <w:rPr>
          <w:szCs w:val="30"/>
        </w:rPr>
        <w:t xml:space="preserve"> </w:t>
      </w:r>
      <w:r w:rsidRPr="00396AE3">
        <w:rPr>
          <w:szCs w:val="30"/>
        </w:rPr>
        <w:t>Витрати та їх класифікація. Прямі та непрямі витрати.</w:t>
      </w:r>
      <w:r>
        <w:rPr>
          <w:szCs w:val="30"/>
        </w:rPr>
        <w:t xml:space="preserve"> </w:t>
      </w:r>
      <w:r w:rsidRPr="00396AE3">
        <w:rPr>
          <w:szCs w:val="30"/>
        </w:rPr>
        <w:t>Особливості розподілу постійних та змінних загальновиробничих витрат. База розподілу.</w:t>
      </w:r>
      <w:r>
        <w:rPr>
          <w:szCs w:val="30"/>
        </w:rPr>
        <w:t xml:space="preserve"> </w:t>
      </w:r>
      <w:r w:rsidRPr="00396AE3">
        <w:rPr>
          <w:szCs w:val="30"/>
        </w:rPr>
        <w:t>Адміністративні, збутові та інші операційні витрати.</w:t>
      </w:r>
      <w:r>
        <w:rPr>
          <w:szCs w:val="30"/>
        </w:rPr>
        <w:t xml:space="preserve"> </w:t>
      </w:r>
      <w:r w:rsidRPr="00396AE3">
        <w:rPr>
          <w:szCs w:val="30"/>
        </w:rPr>
        <w:t>Об’єкт витрат. Порівняльна характеристика методів обліку витрат.</w:t>
      </w:r>
      <w:r>
        <w:rPr>
          <w:szCs w:val="30"/>
        </w:rPr>
        <w:t xml:space="preserve"> </w:t>
      </w:r>
      <w:r w:rsidRPr="00396AE3">
        <w:rPr>
          <w:szCs w:val="30"/>
        </w:rPr>
        <w:t>Собівартість продукції. Перелік та склад статей калькулювання продукції.</w:t>
      </w:r>
      <w:r>
        <w:rPr>
          <w:szCs w:val="30"/>
        </w:rPr>
        <w:t xml:space="preserve"> </w:t>
      </w:r>
      <w:r w:rsidRPr="00396AE3">
        <w:rPr>
          <w:szCs w:val="30"/>
        </w:rPr>
        <w:t>Особливості формування облікової політики для цілей оподаткування.</w:t>
      </w:r>
      <w:r>
        <w:rPr>
          <w:szCs w:val="30"/>
        </w:rPr>
        <w:t xml:space="preserve"> </w:t>
      </w:r>
      <w:r w:rsidRPr="00396AE3">
        <w:rPr>
          <w:szCs w:val="30"/>
        </w:rPr>
        <w:t>Центри обліку витрат, об’єкт калькулювання та калькуляційні одиниці</w:t>
      </w:r>
      <w:r>
        <w:rPr>
          <w:szCs w:val="30"/>
        </w:rPr>
        <w:t>.</w:t>
      </w:r>
    </w:p>
    <w:p w14:paraId="24FC0D0D" w14:textId="77777777" w:rsidR="00632267" w:rsidRDefault="00632267" w:rsidP="00632267">
      <w:pPr>
        <w:spacing w:after="0"/>
        <w:rPr>
          <w:szCs w:val="30"/>
        </w:rPr>
      </w:pPr>
    </w:p>
    <w:p w14:paraId="2FE76F6F" w14:textId="742178CB" w:rsidR="00396AE3" w:rsidRDefault="009827EA" w:rsidP="00632267">
      <w:pPr>
        <w:spacing w:after="0"/>
        <w:rPr>
          <w:i/>
          <w:szCs w:val="30"/>
        </w:rPr>
      </w:pPr>
      <w:r>
        <w:rPr>
          <w:i/>
          <w:szCs w:val="30"/>
        </w:rPr>
        <w:t>Тема 7</w:t>
      </w:r>
      <w:r w:rsidR="002A56F0" w:rsidRPr="002A56F0">
        <w:rPr>
          <w:i/>
          <w:szCs w:val="30"/>
        </w:rPr>
        <w:t xml:space="preserve">. </w:t>
      </w:r>
      <w:r w:rsidR="00396AE3" w:rsidRPr="00396AE3">
        <w:rPr>
          <w:i/>
          <w:szCs w:val="30"/>
        </w:rPr>
        <w:t>Формування облікової політики стосовно доходів, резервів та</w:t>
      </w:r>
      <w:r w:rsidR="00396AE3">
        <w:rPr>
          <w:i/>
          <w:szCs w:val="30"/>
        </w:rPr>
        <w:t xml:space="preserve"> </w:t>
      </w:r>
      <w:r w:rsidR="00632267">
        <w:rPr>
          <w:i/>
          <w:szCs w:val="30"/>
        </w:rPr>
        <w:t>забезпечень</w:t>
      </w:r>
    </w:p>
    <w:p w14:paraId="570E687A" w14:textId="77777777" w:rsidR="00E73924" w:rsidRDefault="00E73924" w:rsidP="00632267">
      <w:pPr>
        <w:spacing w:after="0"/>
        <w:rPr>
          <w:szCs w:val="30"/>
        </w:rPr>
      </w:pPr>
      <w:r w:rsidRPr="00E73924">
        <w:rPr>
          <w:szCs w:val="30"/>
        </w:rPr>
        <w:t>Порядок та критерії визнання доходів підприємства.</w:t>
      </w:r>
      <w:r>
        <w:rPr>
          <w:szCs w:val="30"/>
        </w:rPr>
        <w:t xml:space="preserve"> </w:t>
      </w:r>
      <w:r w:rsidRPr="00E73924">
        <w:rPr>
          <w:szCs w:val="30"/>
        </w:rPr>
        <w:t>Особливості визначення доходу від надання послуг.</w:t>
      </w:r>
      <w:r>
        <w:rPr>
          <w:szCs w:val="30"/>
        </w:rPr>
        <w:t xml:space="preserve"> </w:t>
      </w:r>
      <w:r w:rsidRPr="00E73924">
        <w:rPr>
          <w:szCs w:val="30"/>
        </w:rPr>
        <w:t>Зобов’язання та порядок їх класифікації.</w:t>
      </w:r>
      <w:r>
        <w:rPr>
          <w:szCs w:val="30"/>
        </w:rPr>
        <w:t xml:space="preserve"> </w:t>
      </w:r>
      <w:r w:rsidRPr="00E73924">
        <w:rPr>
          <w:szCs w:val="30"/>
        </w:rPr>
        <w:t>Види забезпечень та порядок їх формування.</w:t>
      </w:r>
      <w:r>
        <w:rPr>
          <w:szCs w:val="30"/>
        </w:rPr>
        <w:t xml:space="preserve"> </w:t>
      </w:r>
      <w:r w:rsidRPr="00E73924">
        <w:rPr>
          <w:szCs w:val="30"/>
        </w:rPr>
        <w:t>Особливості формування облікової політики для цілей оподаткування.</w:t>
      </w:r>
    </w:p>
    <w:p w14:paraId="4323F078" w14:textId="77777777" w:rsidR="00632267" w:rsidRDefault="00632267" w:rsidP="00632267">
      <w:pPr>
        <w:spacing w:after="0"/>
        <w:rPr>
          <w:szCs w:val="30"/>
        </w:rPr>
      </w:pPr>
    </w:p>
    <w:p w14:paraId="1519955C" w14:textId="55D261F7" w:rsidR="00E73924" w:rsidRDefault="009827EA" w:rsidP="00632267">
      <w:pPr>
        <w:spacing w:after="0"/>
        <w:rPr>
          <w:i/>
          <w:szCs w:val="30"/>
        </w:rPr>
      </w:pPr>
      <w:r>
        <w:rPr>
          <w:i/>
          <w:szCs w:val="30"/>
        </w:rPr>
        <w:t>Тема 8</w:t>
      </w:r>
      <w:r w:rsidR="002A56F0" w:rsidRPr="002A56F0">
        <w:rPr>
          <w:i/>
          <w:szCs w:val="30"/>
        </w:rPr>
        <w:t xml:space="preserve">. </w:t>
      </w:r>
      <w:r w:rsidR="00E73924" w:rsidRPr="00E73924">
        <w:rPr>
          <w:i/>
          <w:szCs w:val="30"/>
        </w:rPr>
        <w:t>Формування облікової політики</w:t>
      </w:r>
      <w:r w:rsidR="00632267">
        <w:rPr>
          <w:i/>
          <w:szCs w:val="30"/>
        </w:rPr>
        <w:t xml:space="preserve"> стосовно інших об’єктів обліку</w:t>
      </w:r>
    </w:p>
    <w:p w14:paraId="7DD4A949" w14:textId="5DF2E0ED" w:rsidR="00781388" w:rsidRDefault="00E73924" w:rsidP="00632267">
      <w:pPr>
        <w:spacing w:after="0"/>
        <w:rPr>
          <w:szCs w:val="30"/>
        </w:rPr>
      </w:pPr>
      <w:r w:rsidRPr="00E73924">
        <w:rPr>
          <w:szCs w:val="30"/>
        </w:rPr>
        <w:t>Формування облікової політики щодо операцій з власним капіталом. Акції.</w:t>
      </w:r>
      <w:r>
        <w:rPr>
          <w:szCs w:val="30"/>
        </w:rPr>
        <w:t xml:space="preserve"> </w:t>
      </w:r>
      <w:r w:rsidRPr="00E73924">
        <w:rPr>
          <w:szCs w:val="30"/>
        </w:rPr>
        <w:t>Поняття фінансових інструментів та їх класифікація. Переоцінка фінансових активів.</w:t>
      </w:r>
      <w:r>
        <w:rPr>
          <w:szCs w:val="30"/>
        </w:rPr>
        <w:t xml:space="preserve"> </w:t>
      </w:r>
      <w:r w:rsidRPr="00E73924">
        <w:rPr>
          <w:szCs w:val="30"/>
        </w:rPr>
        <w:t>Операції з пов’язаними сторонами. Принцип « витягнутої руки».</w:t>
      </w:r>
      <w:r>
        <w:rPr>
          <w:szCs w:val="30"/>
        </w:rPr>
        <w:t xml:space="preserve"> </w:t>
      </w:r>
      <w:r w:rsidRPr="00E73924">
        <w:rPr>
          <w:szCs w:val="30"/>
        </w:rPr>
        <w:t>Розкриття інформації щодо операцій з пов’язаними сторонами.</w:t>
      </w:r>
      <w:r>
        <w:rPr>
          <w:szCs w:val="30"/>
        </w:rPr>
        <w:t xml:space="preserve"> </w:t>
      </w:r>
      <w:r w:rsidRPr="00E73924">
        <w:rPr>
          <w:szCs w:val="30"/>
        </w:rPr>
        <w:t>Суттєва інформація. Поріг суттєвості. Визначення кількісних критеріїв і якісних ознак суттєвої</w:t>
      </w:r>
      <w:r>
        <w:rPr>
          <w:szCs w:val="30"/>
        </w:rPr>
        <w:t xml:space="preserve"> </w:t>
      </w:r>
      <w:r w:rsidRPr="00E73924">
        <w:rPr>
          <w:szCs w:val="30"/>
        </w:rPr>
        <w:t>інформації.</w:t>
      </w:r>
      <w:r>
        <w:rPr>
          <w:szCs w:val="30"/>
        </w:rPr>
        <w:t xml:space="preserve"> </w:t>
      </w:r>
      <w:r w:rsidRPr="00E73924">
        <w:rPr>
          <w:szCs w:val="30"/>
        </w:rPr>
        <w:t>Особливості формування облікової політики для цілей оподаткування.</w:t>
      </w:r>
    </w:p>
    <w:p w14:paraId="22A88E2C" w14:textId="77777777" w:rsidR="00632267" w:rsidRDefault="00632267" w:rsidP="00632267">
      <w:pPr>
        <w:spacing w:after="0"/>
        <w:rPr>
          <w:i/>
          <w:szCs w:val="30"/>
        </w:rPr>
      </w:pPr>
    </w:p>
    <w:p w14:paraId="14CD285D" w14:textId="77777777" w:rsidR="004961B7" w:rsidRDefault="00781388" w:rsidP="004961B7">
      <w:pPr>
        <w:spacing w:after="0"/>
        <w:rPr>
          <w:i/>
          <w:szCs w:val="30"/>
        </w:rPr>
      </w:pPr>
      <w:r>
        <w:rPr>
          <w:i/>
          <w:szCs w:val="30"/>
        </w:rPr>
        <w:t>Тема 9</w:t>
      </w:r>
      <w:r w:rsidR="002A56F0" w:rsidRPr="002A56F0">
        <w:rPr>
          <w:i/>
          <w:szCs w:val="30"/>
        </w:rPr>
        <w:t xml:space="preserve">. </w:t>
      </w:r>
      <w:r w:rsidR="00E73924" w:rsidRPr="00E73924">
        <w:rPr>
          <w:i/>
          <w:szCs w:val="30"/>
        </w:rPr>
        <w:t xml:space="preserve">Облікова політика як </w:t>
      </w:r>
      <w:r w:rsidR="00632267">
        <w:rPr>
          <w:i/>
          <w:szCs w:val="30"/>
        </w:rPr>
        <w:t>інструмент фінансової звітності</w:t>
      </w:r>
      <w:bookmarkEnd w:id="0"/>
      <w:bookmarkEnd w:id="1"/>
      <w:bookmarkEnd w:id="2"/>
      <w:bookmarkEnd w:id="3"/>
    </w:p>
    <w:p w14:paraId="32FDC22B" w14:textId="60BDF70C" w:rsidR="00E73924" w:rsidRDefault="00E73924" w:rsidP="004961B7">
      <w:pPr>
        <w:spacing w:after="0"/>
      </w:pPr>
      <w:r w:rsidRPr="00E73924">
        <w:rPr>
          <w:szCs w:val="30"/>
        </w:rPr>
        <w:t>Особливості складання балансу та звіту про рух грошових коштів.</w:t>
      </w:r>
      <w:r>
        <w:rPr>
          <w:szCs w:val="30"/>
        </w:rPr>
        <w:t xml:space="preserve"> </w:t>
      </w:r>
      <w:r w:rsidRPr="00E73924">
        <w:rPr>
          <w:szCs w:val="30"/>
        </w:rPr>
        <w:t>Розкриття інформації в</w:t>
      </w:r>
      <w:r>
        <w:rPr>
          <w:szCs w:val="30"/>
        </w:rPr>
        <w:t xml:space="preserve"> п</w:t>
      </w:r>
      <w:r w:rsidRPr="00E73924">
        <w:rPr>
          <w:szCs w:val="30"/>
        </w:rPr>
        <w:t>римітках до фінансової звітності.</w:t>
      </w:r>
      <w:r>
        <w:rPr>
          <w:szCs w:val="30"/>
        </w:rPr>
        <w:t xml:space="preserve"> </w:t>
      </w:r>
      <w:r w:rsidRPr="00E73924">
        <w:rPr>
          <w:szCs w:val="30"/>
        </w:rPr>
        <w:t>Звітність за сегментами.</w:t>
      </w:r>
      <w:r>
        <w:rPr>
          <w:szCs w:val="30"/>
        </w:rPr>
        <w:t xml:space="preserve"> </w:t>
      </w:r>
      <w:r w:rsidRPr="00E73924">
        <w:rPr>
          <w:szCs w:val="30"/>
        </w:rPr>
        <w:t>Виправлення помилок та внесення змін до фінансової звітності.</w:t>
      </w:r>
      <w:r>
        <w:rPr>
          <w:szCs w:val="30"/>
        </w:rPr>
        <w:t xml:space="preserve"> </w:t>
      </w:r>
      <w:r w:rsidRPr="00E73924">
        <w:rPr>
          <w:szCs w:val="30"/>
        </w:rPr>
        <w:t>Вплив елементів облікової політики на показники фінансової звітності підприємст</w:t>
      </w:r>
      <w:bookmarkStart w:id="4" w:name="_GoBack"/>
      <w:bookmarkEnd w:id="4"/>
      <w:r w:rsidRPr="00E73924">
        <w:rPr>
          <w:szCs w:val="30"/>
        </w:rPr>
        <w:t>ва.</w:t>
      </w:r>
    </w:p>
    <w:p w14:paraId="4C5FDC32" w14:textId="77777777" w:rsidR="003F1A8C" w:rsidRPr="00E40DA2" w:rsidRDefault="003F1A8C" w:rsidP="003F1A8C">
      <w:pPr>
        <w:pStyle w:val="2"/>
      </w:pPr>
      <w:r w:rsidRPr="00E40DA2">
        <w:lastRenderedPageBreak/>
        <w:t xml:space="preserve">Особливості </w:t>
      </w:r>
      <w:r w:rsidR="00756AF0" w:rsidRPr="00E40DA2">
        <w:t xml:space="preserve">та політики </w:t>
      </w:r>
      <w:r w:rsidRPr="00E40DA2">
        <w:t>дисципліни</w:t>
      </w:r>
    </w:p>
    <w:p w14:paraId="078BFA70" w14:textId="48BC1E07" w:rsidR="00632267" w:rsidRDefault="00632267" w:rsidP="00632267">
      <w:r>
        <w:t xml:space="preserve">Відвідання занять є важливою складовою навчання. Очікується, що всі студенти відвідають усі лекції і практичні заняття дисципліни. Студенти мають завчасно інформувати викладача про неможливість відвідати заняття. </w:t>
      </w:r>
    </w:p>
    <w:p w14:paraId="209BE812" w14:textId="60C94A64" w:rsidR="00632267" w:rsidRDefault="00632267" w:rsidP="00632267">
      <w:r>
        <w:t xml:space="preserve">Під час практичних занять використовуються ситуації та реальна облікова ситуація вітчизняних підприємств. Усі практичні завдання максимально наближені до реальної діяльності вітчизняного бізнесу, й формування висновків з розрахунків, проведених в рамках виконання поставлених на практичних заняттях завдань, має враховувати сучасний стан економіки країни та регіону. </w:t>
      </w:r>
    </w:p>
    <w:p w14:paraId="2537C3DC" w14:textId="77777777" w:rsidR="00632267" w:rsidRDefault="00632267" w:rsidP="001B42A3">
      <w:pPr>
        <w:pStyle w:val="2"/>
      </w:pPr>
    </w:p>
    <w:p w14:paraId="5883FB00" w14:textId="77777777" w:rsidR="001B42A3" w:rsidRPr="00E40DA2" w:rsidRDefault="001B42A3" w:rsidP="001B42A3">
      <w:pPr>
        <w:pStyle w:val="2"/>
      </w:pPr>
      <w:r w:rsidRPr="00E40DA2">
        <w:t>Форми та методи оцінювання</w:t>
      </w:r>
    </w:p>
    <w:p w14:paraId="1610C7CE" w14:textId="77777777" w:rsidR="001E53FA" w:rsidRPr="00E40DA2" w:rsidRDefault="002652D3" w:rsidP="414DED05">
      <w:r>
        <w:t>Оцінювання результатів навчання студентів здійснюється за 100-баловою шкалою та шкалою ЄКТС</w:t>
      </w:r>
      <w:r w:rsidR="00DC10CF">
        <w:t xml:space="preserve"> відповідно до діючого </w:t>
      </w:r>
      <w:hyperlink r:id="rId12">
        <w:r w:rsidR="00DC10CF" w:rsidRPr="414DED05">
          <w:rPr>
            <w:rStyle w:val="a3"/>
          </w:rPr>
          <w:t>Положення про оцінювання результатів навчання студентів</w:t>
        </w:r>
      </w:hyperlink>
      <w:r w:rsidR="00DC10CF" w:rsidRPr="414DED05">
        <w:rPr>
          <w:color w:val="1F497D" w:themeColor="text2"/>
        </w:rPr>
        <w:t>.</w:t>
      </w:r>
      <w:r>
        <w:t xml:space="preserve"> </w:t>
      </w:r>
    </w:p>
    <w:p w14:paraId="2DFC42FB" w14:textId="6448CEDA" w:rsidR="001E53FA" w:rsidRPr="00E40DA2" w:rsidRDefault="001E53FA" w:rsidP="414DED05">
      <w:r w:rsidRPr="414DED05">
        <w:rPr>
          <w:i/>
          <w:iCs/>
        </w:rPr>
        <w:t>Поточний контроль (60 балів)</w:t>
      </w:r>
      <w:r>
        <w:t xml:space="preserve">: </w:t>
      </w:r>
      <w:r w:rsidR="001E1075">
        <w:t xml:space="preserve">1) </w:t>
      </w:r>
      <w:r w:rsidR="00BF7E2E">
        <w:t>опитування під час занять</w:t>
      </w:r>
      <w:r w:rsidR="001E1075">
        <w:t xml:space="preserve">; </w:t>
      </w:r>
      <w:r w:rsidR="00BF7E2E">
        <w:t>2</w:t>
      </w:r>
      <w:r w:rsidR="001E1075">
        <w:t xml:space="preserve">) </w:t>
      </w:r>
      <w:r w:rsidR="00BF7E2E">
        <w:t>виконання практичних завдань</w:t>
      </w:r>
      <w:r w:rsidR="003F60FB">
        <w:t xml:space="preserve">; </w:t>
      </w:r>
      <w:r w:rsidR="00BF7E2E">
        <w:t>3</w:t>
      </w:r>
      <w:r w:rsidR="001E1075">
        <w:t>)</w:t>
      </w:r>
      <w:r w:rsidR="00EB6F58">
        <w:t> </w:t>
      </w:r>
      <w:r w:rsidR="001E1075">
        <w:t xml:space="preserve">поточне </w:t>
      </w:r>
      <w:r>
        <w:t xml:space="preserve">тестування на </w:t>
      </w:r>
      <w:r w:rsidR="001F6470">
        <w:t>Порталі освітніх ресурсів та інформаційної підтримки освітнього процесу Інституту (</w:t>
      </w:r>
      <w:hyperlink r:id="rId13">
        <w:r w:rsidR="001F6470" w:rsidRPr="414DED05">
          <w:rPr>
            <w:color w:val="1F497D" w:themeColor="text2"/>
            <w:u w:val="single"/>
          </w:rPr>
          <w:t>https://edu.htei.kh.ua</w:t>
        </w:r>
      </w:hyperlink>
      <w:r w:rsidR="001F6470">
        <w:t>).</w:t>
      </w:r>
    </w:p>
    <w:p w14:paraId="7C540E59" w14:textId="4D13052B" w:rsidR="001E53FA" w:rsidRPr="00E40DA2" w:rsidRDefault="001E53FA" w:rsidP="414DED05">
      <w:r w:rsidRPr="414DED05">
        <w:rPr>
          <w:i/>
          <w:iCs/>
        </w:rPr>
        <w:t xml:space="preserve">Підсумковий </w:t>
      </w:r>
      <w:r w:rsidR="009B5945" w:rsidRPr="414DED05">
        <w:rPr>
          <w:i/>
          <w:iCs/>
        </w:rPr>
        <w:t xml:space="preserve">семестровий </w:t>
      </w:r>
      <w:r w:rsidRPr="414DED05">
        <w:rPr>
          <w:i/>
          <w:iCs/>
        </w:rPr>
        <w:t>контроль (40 балів)</w:t>
      </w:r>
      <w:r w:rsidRPr="00E40DA2">
        <w:t>: письмовий екзамен</w:t>
      </w:r>
      <w:r w:rsidR="00CC7399" w:rsidRPr="00E40DA2">
        <w:t>. Структура екзаменаційного білету: з</w:t>
      </w:r>
      <w:r w:rsidRPr="00E40DA2">
        <w:rPr>
          <w:snapToGrid w:val="0"/>
        </w:rPr>
        <w:t>авдання на оцінювання теоретичних знань (комп’ютерне тестування)</w:t>
      </w:r>
      <w:r w:rsidR="00CC7399" w:rsidRPr="00E40DA2">
        <w:rPr>
          <w:snapToGrid w:val="0"/>
        </w:rPr>
        <w:t>; з</w:t>
      </w:r>
      <w:r w:rsidRPr="00E40DA2">
        <w:rPr>
          <w:snapToGrid w:val="0"/>
        </w:rPr>
        <w:t xml:space="preserve">авдання на оцінювання </w:t>
      </w:r>
      <w:r w:rsidR="00632267">
        <w:rPr>
          <w:snapToGrid w:val="0"/>
        </w:rPr>
        <w:t xml:space="preserve">практичних </w:t>
      </w:r>
      <w:r w:rsidRPr="00E40DA2">
        <w:rPr>
          <w:snapToGrid w:val="0"/>
        </w:rPr>
        <w:t>навичок</w:t>
      </w:r>
      <w:r w:rsidR="00632267">
        <w:rPr>
          <w:snapToGrid w:val="0"/>
        </w:rPr>
        <w:t xml:space="preserve"> та </w:t>
      </w:r>
      <w:r w:rsidRPr="00E40DA2">
        <w:rPr>
          <w:snapToGrid w:val="0"/>
        </w:rPr>
        <w:t xml:space="preserve"> </w:t>
      </w:r>
      <w:r w:rsidR="00632267" w:rsidRPr="00E40DA2">
        <w:rPr>
          <w:snapToGrid w:val="0"/>
        </w:rPr>
        <w:t xml:space="preserve">професійних вмінь </w:t>
      </w:r>
      <w:r w:rsidRPr="00E40DA2">
        <w:rPr>
          <w:snapToGrid w:val="0"/>
        </w:rPr>
        <w:t>(</w:t>
      </w:r>
      <w:r w:rsidR="00C56262">
        <w:rPr>
          <w:snapToGrid w:val="0"/>
        </w:rPr>
        <w:t>розрахунково-аналітичне завдання</w:t>
      </w:r>
      <w:r w:rsidRPr="00E40DA2">
        <w:rPr>
          <w:snapToGrid w:val="0"/>
        </w:rPr>
        <w:t>)</w:t>
      </w:r>
      <w:r w:rsidR="00632267">
        <w:rPr>
          <w:snapToGrid w:val="0"/>
        </w:rPr>
        <w:t>.</w:t>
      </w:r>
    </w:p>
    <w:p w14:paraId="422B6544" w14:textId="77777777" w:rsidR="001B42A3" w:rsidRPr="00E40DA2" w:rsidRDefault="002652D3" w:rsidP="414DED05">
      <w:r w:rsidRPr="00E40DA2">
        <w:rPr>
          <w:snapToGrid w:val="0"/>
        </w:rPr>
        <w:t>Умовою допуску до підсумкового семестрового контролю є</w:t>
      </w:r>
      <w:r w:rsidRPr="00E40DA2">
        <w:t xml:space="preserve"> виконання програми навчальної дисципліни і отримання оцінки за виконання завдань поточного контролю не менше ніж 36 балів. Мінімальна загальна кількість балів для отримання позитивної оцінки з дисципліни – 60.</w:t>
      </w:r>
    </w:p>
    <w:p w14:paraId="4DDBEF00" w14:textId="77777777" w:rsidR="002652D3" w:rsidRPr="00E40DA2" w:rsidRDefault="002652D3" w:rsidP="414DED05"/>
    <w:p w14:paraId="79B5CCE7" w14:textId="77777777" w:rsidR="00983C8C" w:rsidRPr="00E40DA2" w:rsidRDefault="00983C8C" w:rsidP="414DED05">
      <w:pPr>
        <w:pStyle w:val="2"/>
      </w:pPr>
      <w:r>
        <w:t>Рекомендовані джерела інформації</w:t>
      </w:r>
    </w:p>
    <w:p w14:paraId="28A57B90" w14:textId="2F3BF68C" w:rsidR="006D6809" w:rsidRPr="00EA5F63" w:rsidRDefault="00E1790E" w:rsidP="00E70091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Calibri" w:eastAsiaTheme="minorHAnsi" w:hAnsi="Calibri"/>
          <w:sz w:val="24"/>
          <w:szCs w:val="20"/>
          <w:lang w:eastAsia="en-US"/>
        </w:rPr>
      </w:pPr>
      <w:r w:rsidRPr="00EA5F63">
        <w:rPr>
          <w:rFonts w:ascii="Calibri" w:eastAsiaTheme="minorHAnsi" w:hAnsi="Calibri"/>
          <w:sz w:val="24"/>
          <w:szCs w:val="20"/>
          <w:lang w:eastAsia="en-US"/>
        </w:rPr>
        <w:t>Облікова політика підприємства</w:t>
      </w:r>
      <w:r>
        <w:rPr>
          <w:rFonts w:ascii="Calibri" w:eastAsiaTheme="minorHAnsi" w:hAnsi="Calibri"/>
          <w:sz w:val="24"/>
          <w:szCs w:val="20"/>
          <w:lang w:eastAsia="en-US"/>
        </w:rPr>
        <w:t>: навчальний посібник</w:t>
      </w:r>
      <w:r w:rsidRPr="00EA5F63">
        <w:rPr>
          <w:rFonts w:ascii="Calibri" w:eastAsiaTheme="minorHAnsi" w:hAnsi="Calibri"/>
          <w:sz w:val="24"/>
          <w:szCs w:val="20"/>
          <w:lang w:eastAsia="en-US"/>
        </w:rPr>
        <w:t xml:space="preserve"> </w:t>
      </w:r>
      <w:r w:rsidR="006D6809" w:rsidRPr="00EA5F63">
        <w:rPr>
          <w:rFonts w:ascii="Calibri" w:eastAsiaTheme="minorHAnsi" w:hAnsi="Calibri"/>
          <w:sz w:val="24"/>
          <w:szCs w:val="20"/>
          <w:lang w:eastAsia="en-US"/>
        </w:rPr>
        <w:t>/ Ю. А. Верига, В. А. Кулик, Ю.</w:t>
      </w:r>
      <w:r>
        <w:rPr>
          <w:rFonts w:eastAsiaTheme="minorHAnsi"/>
        </w:rPr>
        <w:t> </w:t>
      </w:r>
      <w:r w:rsidR="006D6809" w:rsidRPr="00EA5F63">
        <w:rPr>
          <w:rFonts w:ascii="Calibri" w:eastAsiaTheme="minorHAnsi" w:hAnsi="Calibri"/>
          <w:sz w:val="24"/>
          <w:szCs w:val="20"/>
          <w:lang w:eastAsia="en-US"/>
        </w:rPr>
        <w:t>А.</w:t>
      </w:r>
      <w:r>
        <w:rPr>
          <w:rFonts w:eastAsiaTheme="minorHAnsi"/>
        </w:rPr>
        <w:t> </w:t>
      </w:r>
      <w:r w:rsidR="006D6809" w:rsidRPr="00EA5F63">
        <w:rPr>
          <w:rFonts w:ascii="Calibri" w:eastAsiaTheme="minorHAnsi" w:hAnsi="Calibri"/>
          <w:sz w:val="24"/>
          <w:szCs w:val="20"/>
          <w:lang w:eastAsia="en-US"/>
        </w:rPr>
        <w:t>Ночовна, С. Ю. Іванюк</w:t>
      </w:r>
      <w:r w:rsidR="004961B7">
        <w:rPr>
          <w:rFonts w:ascii="Calibri" w:eastAsiaTheme="minorHAnsi" w:hAnsi="Calibri"/>
          <w:sz w:val="24"/>
          <w:szCs w:val="20"/>
          <w:lang w:eastAsia="en-US"/>
        </w:rPr>
        <w:t>.</w:t>
      </w:r>
      <w:r w:rsidR="006D6809" w:rsidRPr="00EA5F63">
        <w:rPr>
          <w:rFonts w:ascii="Calibri" w:eastAsiaTheme="minorHAnsi" w:hAnsi="Calibri"/>
          <w:sz w:val="24"/>
          <w:szCs w:val="20"/>
          <w:lang w:eastAsia="en-US"/>
        </w:rPr>
        <w:t xml:space="preserve"> – К</w:t>
      </w:r>
      <w:r>
        <w:rPr>
          <w:rFonts w:ascii="Calibri" w:eastAsiaTheme="minorHAnsi" w:hAnsi="Calibri"/>
          <w:sz w:val="24"/>
          <w:szCs w:val="20"/>
          <w:lang w:eastAsia="en-US"/>
        </w:rPr>
        <w:t xml:space="preserve">иїв </w:t>
      </w:r>
      <w:r w:rsidR="006D6809" w:rsidRPr="00EA5F63">
        <w:rPr>
          <w:rFonts w:ascii="Calibri" w:eastAsiaTheme="minorHAnsi" w:hAnsi="Calibri"/>
          <w:sz w:val="24"/>
          <w:szCs w:val="20"/>
          <w:lang w:eastAsia="en-US"/>
        </w:rPr>
        <w:t>: Центр учбової літератури, 2017. – 312 с.</w:t>
      </w:r>
    </w:p>
    <w:p w14:paraId="6F820552" w14:textId="218C1895" w:rsidR="006D6809" w:rsidRDefault="00E1790E" w:rsidP="414DED05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Calibri" w:eastAsiaTheme="minorEastAsia" w:hAnsi="Calibri"/>
          <w:sz w:val="24"/>
          <w:lang w:eastAsia="en-US"/>
        </w:rPr>
      </w:pPr>
      <w:r w:rsidRPr="414DED05">
        <w:rPr>
          <w:rFonts w:ascii="Calibri" w:eastAsiaTheme="minorEastAsia" w:hAnsi="Calibri"/>
          <w:sz w:val="24"/>
          <w:lang w:eastAsia="en-US"/>
        </w:rPr>
        <w:t xml:space="preserve">Облікова політика підприємства: навчально-методичний комплекс </w:t>
      </w:r>
      <w:r w:rsidR="006D6809" w:rsidRPr="414DED05">
        <w:rPr>
          <w:rFonts w:ascii="Calibri" w:eastAsiaTheme="minorEastAsia" w:hAnsi="Calibri"/>
          <w:sz w:val="24"/>
          <w:lang w:eastAsia="en-US"/>
        </w:rPr>
        <w:t xml:space="preserve">/ </w:t>
      </w:r>
      <w:r w:rsidR="006C6314" w:rsidRPr="414DED05">
        <w:rPr>
          <w:rFonts w:ascii="Calibri" w:eastAsiaTheme="minorEastAsia" w:hAnsi="Calibri"/>
          <w:sz w:val="24"/>
          <w:lang w:eastAsia="en-US"/>
        </w:rPr>
        <w:t xml:space="preserve">Л. І. </w:t>
      </w:r>
      <w:r w:rsidR="006D6809" w:rsidRPr="414DED05">
        <w:rPr>
          <w:rFonts w:ascii="Calibri" w:eastAsiaTheme="minorEastAsia" w:hAnsi="Calibri"/>
          <w:sz w:val="24"/>
          <w:lang w:eastAsia="en-US"/>
        </w:rPr>
        <w:t xml:space="preserve">Галюк, </w:t>
      </w:r>
      <w:r w:rsidR="006C6314" w:rsidRPr="414DED05">
        <w:rPr>
          <w:rFonts w:ascii="Calibri" w:eastAsiaTheme="minorEastAsia" w:hAnsi="Calibri"/>
          <w:sz w:val="24"/>
          <w:lang w:eastAsia="en-US"/>
        </w:rPr>
        <w:t>В. К. </w:t>
      </w:r>
      <w:r w:rsidR="006D6809" w:rsidRPr="414DED05">
        <w:rPr>
          <w:rFonts w:ascii="Calibri" w:eastAsiaTheme="minorEastAsia" w:hAnsi="Calibri"/>
          <w:sz w:val="24"/>
          <w:lang w:eastAsia="en-US"/>
        </w:rPr>
        <w:t xml:space="preserve">Орлова, І. Б. </w:t>
      </w:r>
      <w:r w:rsidR="006C6314" w:rsidRPr="414DED05">
        <w:rPr>
          <w:rFonts w:ascii="Calibri" w:eastAsiaTheme="minorEastAsia" w:hAnsi="Calibri"/>
          <w:sz w:val="24"/>
          <w:lang w:eastAsia="en-US"/>
        </w:rPr>
        <w:t>Медвідь</w:t>
      </w:r>
      <w:r w:rsidR="004961B7">
        <w:rPr>
          <w:rFonts w:ascii="Calibri" w:eastAsiaTheme="minorEastAsia" w:hAnsi="Calibri"/>
          <w:sz w:val="24"/>
          <w:lang w:eastAsia="en-US"/>
        </w:rPr>
        <w:t>.</w:t>
      </w:r>
      <w:r w:rsidR="006C6314" w:rsidRPr="414DED05">
        <w:rPr>
          <w:rFonts w:ascii="Calibri" w:eastAsiaTheme="minorEastAsia" w:hAnsi="Calibri"/>
          <w:sz w:val="24"/>
          <w:lang w:eastAsia="en-US"/>
        </w:rPr>
        <w:t xml:space="preserve">  </w:t>
      </w:r>
      <w:r w:rsidR="006D6809" w:rsidRPr="414DED05">
        <w:rPr>
          <w:rFonts w:ascii="Calibri" w:eastAsiaTheme="minorEastAsia" w:hAnsi="Calibri"/>
          <w:sz w:val="24"/>
          <w:lang w:eastAsia="en-US"/>
        </w:rPr>
        <w:t>– Івано-Франківськ</w:t>
      </w:r>
      <w:r w:rsidRPr="414DED05">
        <w:rPr>
          <w:rFonts w:ascii="Calibri" w:eastAsiaTheme="minorEastAsia" w:hAnsi="Calibri"/>
          <w:sz w:val="24"/>
          <w:lang w:eastAsia="en-US"/>
        </w:rPr>
        <w:t xml:space="preserve"> </w:t>
      </w:r>
      <w:r w:rsidR="006D6809" w:rsidRPr="414DED05">
        <w:rPr>
          <w:rFonts w:ascii="Calibri" w:eastAsiaTheme="minorEastAsia" w:hAnsi="Calibri"/>
          <w:sz w:val="24"/>
          <w:lang w:eastAsia="en-US"/>
        </w:rPr>
        <w:t xml:space="preserve">: </w:t>
      </w:r>
      <w:r w:rsidRPr="414DED05">
        <w:rPr>
          <w:rFonts w:ascii="Calibri" w:eastAsiaTheme="minorEastAsia" w:hAnsi="Calibri"/>
          <w:sz w:val="24"/>
          <w:lang w:eastAsia="en-US"/>
        </w:rPr>
        <w:t>Івано-Франківський національний технічний університет нафти і газу</w:t>
      </w:r>
      <w:r w:rsidR="006D6809" w:rsidRPr="414DED05">
        <w:rPr>
          <w:rFonts w:ascii="Calibri" w:eastAsiaTheme="minorEastAsia" w:hAnsi="Calibri"/>
          <w:sz w:val="24"/>
          <w:lang w:eastAsia="en-US"/>
        </w:rPr>
        <w:t xml:space="preserve">, 2016. </w:t>
      </w:r>
      <w:r w:rsidRPr="414DED05">
        <w:rPr>
          <w:rFonts w:ascii="Calibri" w:eastAsiaTheme="minorEastAsia" w:hAnsi="Calibri"/>
          <w:sz w:val="24"/>
          <w:lang w:eastAsia="en-US"/>
        </w:rPr>
        <w:t>–</w:t>
      </w:r>
      <w:r w:rsidR="006D6809" w:rsidRPr="414DED05">
        <w:rPr>
          <w:rFonts w:ascii="Calibri" w:eastAsiaTheme="minorEastAsia" w:hAnsi="Calibri"/>
          <w:sz w:val="24"/>
          <w:lang w:eastAsia="en-US"/>
        </w:rPr>
        <w:t xml:space="preserve"> </w:t>
      </w:r>
      <w:r w:rsidRPr="414DED05">
        <w:rPr>
          <w:rFonts w:ascii="Calibri" w:eastAsiaTheme="minorEastAsia" w:hAnsi="Calibri"/>
          <w:sz w:val="24"/>
          <w:lang w:eastAsia="en-US"/>
        </w:rPr>
        <w:t>98 с .</w:t>
      </w:r>
    </w:p>
    <w:p w14:paraId="5E7F8FA3" w14:textId="41469593" w:rsidR="00E1790E" w:rsidRDefault="00E1790E" w:rsidP="00E70091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Calibri" w:eastAsiaTheme="minorHAnsi" w:hAnsi="Calibri"/>
          <w:sz w:val="24"/>
          <w:szCs w:val="20"/>
          <w:lang w:eastAsia="en-US"/>
        </w:rPr>
      </w:pPr>
      <w:r w:rsidRPr="00E1790E">
        <w:rPr>
          <w:rFonts w:ascii="Calibri" w:eastAsiaTheme="minorHAnsi" w:hAnsi="Calibri"/>
          <w:sz w:val="24"/>
          <w:szCs w:val="20"/>
          <w:lang w:eastAsia="en-US"/>
        </w:rPr>
        <w:t xml:space="preserve">План рахунків бухгалтерського обліку активів, капіталу, зобов’язань і  </w:t>
      </w:r>
      <w:r w:rsidR="006C6314">
        <w:rPr>
          <w:rFonts w:ascii="Calibri" w:eastAsiaTheme="minorHAnsi" w:hAnsi="Calibri"/>
          <w:sz w:val="24"/>
          <w:szCs w:val="20"/>
          <w:lang w:eastAsia="en-US"/>
        </w:rPr>
        <w:t>г</w:t>
      </w:r>
      <w:r w:rsidRPr="00E1790E">
        <w:rPr>
          <w:rFonts w:ascii="Calibri" w:eastAsiaTheme="minorHAnsi" w:hAnsi="Calibri"/>
          <w:sz w:val="24"/>
          <w:szCs w:val="20"/>
          <w:lang w:eastAsia="en-US"/>
        </w:rPr>
        <w:t>осподарських операцій підприємств і організацій [Електронний ресурс] : наказ Міністерства фінансів України № 291 від 30.11.1999 р. // Верховна Рада України. Законодавство України : [база даних]. – Режим доступу: http://zakon2.rada.gov.ua/laws/show/z1557-11. – Станом на 27.11.2019. –</w:t>
      </w:r>
      <w:r>
        <w:rPr>
          <w:rFonts w:ascii="Calibri" w:eastAsiaTheme="minorHAnsi" w:hAnsi="Calibri"/>
          <w:sz w:val="24"/>
          <w:szCs w:val="20"/>
          <w:lang w:eastAsia="en-US"/>
        </w:rPr>
        <w:t xml:space="preserve"> </w:t>
      </w:r>
      <w:r w:rsidRPr="00E1790E">
        <w:rPr>
          <w:rFonts w:ascii="Calibri" w:eastAsiaTheme="minorHAnsi" w:hAnsi="Calibri"/>
          <w:sz w:val="24"/>
          <w:szCs w:val="20"/>
          <w:lang w:eastAsia="en-US"/>
        </w:rPr>
        <w:t>Назва з екрана.</w:t>
      </w:r>
    </w:p>
    <w:p w14:paraId="342EFE80" w14:textId="185739C2" w:rsidR="00E1790E" w:rsidRDefault="00E1790E" w:rsidP="00E70091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Calibri" w:eastAsiaTheme="minorHAnsi" w:hAnsi="Calibri"/>
          <w:sz w:val="24"/>
          <w:szCs w:val="20"/>
          <w:lang w:eastAsia="en-US"/>
        </w:rPr>
      </w:pPr>
      <w:r w:rsidRPr="00E1790E">
        <w:rPr>
          <w:rFonts w:ascii="Calibri" w:eastAsiaTheme="minorHAnsi" w:hAnsi="Calibri"/>
          <w:sz w:val="24"/>
          <w:szCs w:val="20"/>
          <w:lang w:eastAsia="en-US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 [Електронний ресурс] : наказ Міністерства фінансів України № 291 від 30.11.1999 р. // Верховна Рада України. Законодавство України : [база даних]. – Режим доступу: http://zakon5.rada.gov.ua/laws/show/z0893-99. – Станом на 27.11.2019. – Назва з екрана.</w:t>
      </w:r>
    </w:p>
    <w:p w14:paraId="6A131BF7" w14:textId="16B38AE2" w:rsidR="006D6809" w:rsidRPr="00824491" w:rsidRDefault="00E1790E" w:rsidP="00E70091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Calibri" w:eastAsiaTheme="minorHAnsi" w:hAnsi="Calibri"/>
          <w:sz w:val="24"/>
          <w:szCs w:val="20"/>
          <w:lang w:eastAsia="en-US"/>
        </w:rPr>
      </w:pPr>
      <w:r w:rsidRPr="00824491">
        <w:rPr>
          <w:rFonts w:ascii="Calibri" w:eastAsiaTheme="minorHAnsi" w:hAnsi="Calibri"/>
          <w:sz w:val="24"/>
          <w:szCs w:val="20"/>
          <w:lang w:eastAsia="en-US"/>
        </w:rPr>
        <w:t>Про бухгалтерський облік та фінансову звітність в Україні [Електронний ресурс] : Закон України № 996 від 16.07.1999 р. // Верховна</w:t>
      </w:r>
      <w:r w:rsidR="00824491" w:rsidRPr="00824491">
        <w:rPr>
          <w:rFonts w:ascii="Calibri" w:eastAsiaTheme="minorHAnsi" w:hAnsi="Calibri"/>
          <w:sz w:val="24"/>
          <w:szCs w:val="20"/>
          <w:lang w:eastAsia="en-US"/>
        </w:rPr>
        <w:t xml:space="preserve"> </w:t>
      </w:r>
      <w:r w:rsidRPr="00824491">
        <w:rPr>
          <w:rFonts w:ascii="Calibri" w:eastAsiaTheme="minorHAnsi" w:hAnsi="Calibri"/>
          <w:sz w:val="24"/>
          <w:szCs w:val="20"/>
          <w:lang w:eastAsia="en-US"/>
        </w:rPr>
        <w:t xml:space="preserve">Рада України. Законодавство України : [база </w:t>
      </w:r>
      <w:r w:rsidRPr="00824491">
        <w:rPr>
          <w:rFonts w:ascii="Calibri" w:eastAsiaTheme="minorHAnsi" w:hAnsi="Calibri"/>
          <w:sz w:val="24"/>
          <w:szCs w:val="20"/>
          <w:lang w:eastAsia="en-US"/>
        </w:rPr>
        <w:lastRenderedPageBreak/>
        <w:t>даних]. – Режим доступу:</w:t>
      </w:r>
      <w:r w:rsidR="00824491" w:rsidRPr="00824491">
        <w:rPr>
          <w:rFonts w:ascii="Calibri" w:eastAsiaTheme="minorHAnsi" w:hAnsi="Calibri"/>
          <w:sz w:val="24"/>
          <w:szCs w:val="20"/>
          <w:lang w:eastAsia="en-US"/>
        </w:rPr>
        <w:t xml:space="preserve"> </w:t>
      </w:r>
      <w:r w:rsidRPr="00824491">
        <w:rPr>
          <w:rFonts w:ascii="Calibri" w:eastAsiaTheme="minorHAnsi" w:hAnsi="Calibri"/>
          <w:sz w:val="24"/>
          <w:szCs w:val="20"/>
          <w:lang w:eastAsia="en-US"/>
        </w:rPr>
        <w:t>http://zakon5.rada.gov.ua/laws/show/996-14. – Станом на 27.11.2019. –</w:t>
      </w:r>
      <w:r w:rsidR="00824491" w:rsidRPr="00824491">
        <w:rPr>
          <w:rFonts w:ascii="Calibri" w:eastAsiaTheme="minorHAnsi" w:hAnsi="Calibri"/>
          <w:sz w:val="24"/>
          <w:szCs w:val="20"/>
          <w:lang w:eastAsia="en-US"/>
        </w:rPr>
        <w:t xml:space="preserve"> </w:t>
      </w:r>
      <w:r w:rsidRPr="00824491">
        <w:rPr>
          <w:rFonts w:ascii="Calibri" w:eastAsiaTheme="minorHAnsi" w:hAnsi="Calibri"/>
          <w:sz w:val="24"/>
          <w:szCs w:val="20"/>
          <w:lang w:eastAsia="en-US"/>
        </w:rPr>
        <w:t>Назва з екрана.</w:t>
      </w:r>
      <w:r w:rsidR="00824491">
        <w:rPr>
          <w:rFonts w:ascii="Calibri" w:eastAsiaTheme="minorHAnsi" w:hAnsi="Calibri"/>
          <w:sz w:val="24"/>
          <w:szCs w:val="20"/>
          <w:lang w:eastAsia="en-US"/>
        </w:rPr>
        <w:t xml:space="preserve"> </w:t>
      </w:r>
    </w:p>
    <w:sectPr w:rsidR="006D6809" w:rsidRPr="00824491" w:rsidSect="00212C2C">
      <w:pgSz w:w="11906" w:h="16838" w:code="9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EA146" w14:textId="77777777" w:rsidR="00003706" w:rsidRDefault="00003706" w:rsidP="009B22AA">
      <w:pPr>
        <w:spacing w:after="0"/>
      </w:pPr>
      <w:r>
        <w:separator/>
      </w:r>
    </w:p>
  </w:endnote>
  <w:endnote w:type="continuationSeparator" w:id="0">
    <w:p w14:paraId="5A427CB4" w14:textId="77777777" w:rsidR="00003706" w:rsidRDefault="00003706" w:rsidP="009B2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6CF7" w14:textId="77777777" w:rsidR="00003706" w:rsidRDefault="00003706" w:rsidP="009B22AA">
      <w:pPr>
        <w:spacing w:after="0"/>
      </w:pPr>
      <w:r>
        <w:separator/>
      </w:r>
    </w:p>
  </w:footnote>
  <w:footnote w:type="continuationSeparator" w:id="0">
    <w:p w14:paraId="42CDE29C" w14:textId="77777777" w:rsidR="00003706" w:rsidRDefault="00003706" w:rsidP="009B2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D16"/>
    <w:multiLevelType w:val="hybridMultilevel"/>
    <w:tmpl w:val="9AD445B4"/>
    <w:lvl w:ilvl="0" w:tplc="E9E0B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66C6F"/>
    <w:multiLevelType w:val="hybridMultilevel"/>
    <w:tmpl w:val="38965326"/>
    <w:lvl w:ilvl="0" w:tplc="246E1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3B"/>
    <w:rsid w:val="00003706"/>
    <w:rsid w:val="00026842"/>
    <w:rsid w:val="00030B3B"/>
    <w:rsid w:val="00036D30"/>
    <w:rsid w:val="000533A4"/>
    <w:rsid w:val="000533A7"/>
    <w:rsid w:val="00054ED1"/>
    <w:rsid w:val="00071EEC"/>
    <w:rsid w:val="000932EC"/>
    <w:rsid w:val="00093A0F"/>
    <w:rsid w:val="00093E81"/>
    <w:rsid w:val="00094100"/>
    <w:rsid w:val="00096C79"/>
    <w:rsid w:val="000B4934"/>
    <w:rsid w:val="0011784C"/>
    <w:rsid w:val="0012274C"/>
    <w:rsid w:val="001460A8"/>
    <w:rsid w:val="00147D7A"/>
    <w:rsid w:val="0015295E"/>
    <w:rsid w:val="00167CE5"/>
    <w:rsid w:val="001821AE"/>
    <w:rsid w:val="0018313A"/>
    <w:rsid w:val="00186C70"/>
    <w:rsid w:val="00196E2C"/>
    <w:rsid w:val="001A0D6C"/>
    <w:rsid w:val="001B42A3"/>
    <w:rsid w:val="001C1814"/>
    <w:rsid w:val="001E1075"/>
    <w:rsid w:val="001E53FA"/>
    <w:rsid w:val="001E5EE0"/>
    <w:rsid w:val="001E6851"/>
    <w:rsid w:val="001F6470"/>
    <w:rsid w:val="002015F8"/>
    <w:rsid w:val="002128D3"/>
    <w:rsid w:val="00212C2C"/>
    <w:rsid w:val="00236746"/>
    <w:rsid w:val="00243B2F"/>
    <w:rsid w:val="002652D3"/>
    <w:rsid w:val="00270356"/>
    <w:rsid w:val="002A451E"/>
    <w:rsid w:val="002A56F0"/>
    <w:rsid w:val="002B23BC"/>
    <w:rsid w:val="002C2CEB"/>
    <w:rsid w:val="002C74DA"/>
    <w:rsid w:val="00302969"/>
    <w:rsid w:val="0031510C"/>
    <w:rsid w:val="0031514B"/>
    <w:rsid w:val="00333DFA"/>
    <w:rsid w:val="00347898"/>
    <w:rsid w:val="003500F3"/>
    <w:rsid w:val="00357E26"/>
    <w:rsid w:val="00382B26"/>
    <w:rsid w:val="00396AE3"/>
    <w:rsid w:val="003A0A17"/>
    <w:rsid w:val="003A6505"/>
    <w:rsid w:val="003C16BC"/>
    <w:rsid w:val="003D5643"/>
    <w:rsid w:val="003E46D8"/>
    <w:rsid w:val="003F1A8C"/>
    <w:rsid w:val="003F60FB"/>
    <w:rsid w:val="00451AC5"/>
    <w:rsid w:val="00462D84"/>
    <w:rsid w:val="00463CEB"/>
    <w:rsid w:val="00487FE9"/>
    <w:rsid w:val="004961B7"/>
    <w:rsid w:val="004C65A4"/>
    <w:rsid w:val="004E068A"/>
    <w:rsid w:val="004E5253"/>
    <w:rsid w:val="004F3D2A"/>
    <w:rsid w:val="005821C6"/>
    <w:rsid w:val="005A52E9"/>
    <w:rsid w:val="005A7E1E"/>
    <w:rsid w:val="005C5978"/>
    <w:rsid w:val="005F4430"/>
    <w:rsid w:val="00631110"/>
    <w:rsid w:val="00632267"/>
    <w:rsid w:val="006439A0"/>
    <w:rsid w:val="006601A2"/>
    <w:rsid w:val="0068217B"/>
    <w:rsid w:val="006B6A7F"/>
    <w:rsid w:val="006C6314"/>
    <w:rsid w:val="006D6809"/>
    <w:rsid w:val="006E531F"/>
    <w:rsid w:val="00751EAA"/>
    <w:rsid w:val="0075389C"/>
    <w:rsid w:val="00756AF0"/>
    <w:rsid w:val="00781388"/>
    <w:rsid w:val="007A12AB"/>
    <w:rsid w:val="007A3DDF"/>
    <w:rsid w:val="007C55A4"/>
    <w:rsid w:val="007D1406"/>
    <w:rsid w:val="008042CA"/>
    <w:rsid w:val="008205C9"/>
    <w:rsid w:val="00821EA7"/>
    <w:rsid w:val="00824491"/>
    <w:rsid w:val="00826340"/>
    <w:rsid w:val="00860FB9"/>
    <w:rsid w:val="00896001"/>
    <w:rsid w:val="008B0501"/>
    <w:rsid w:val="008B12DB"/>
    <w:rsid w:val="008B1310"/>
    <w:rsid w:val="008C1D77"/>
    <w:rsid w:val="008C74BC"/>
    <w:rsid w:val="008D18E9"/>
    <w:rsid w:val="008D272B"/>
    <w:rsid w:val="008E1923"/>
    <w:rsid w:val="00913830"/>
    <w:rsid w:val="00946303"/>
    <w:rsid w:val="009635B1"/>
    <w:rsid w:val="0097643D"/>
    <w:rsid w:val="009827EA"/>
    <w:rsid w:val="00983C8C"/>
    <w:rsid w:val="009B22AA"/>
    <w:rsid w:val="009B5945"/>
    <w:rsid w:val="00A02ECE"/>
    <w:rsid w:val="00A124C4"/>
    <w:rsid w:val="00A173D1"/>
    <w:rsid w:val="00A32A23"/>
    <w:rsid w:val="00A3478E"/>
    <w:rsid w:val="00A459DB"/>
    <w:rsid w:val="00A561FA"/>
    <w:rsid w:val="00A7550C"/>
    <w:rsid w:val="00AA66E1"/>
    <w:rsid w:val="00AA76F2"/>
    <w:rsid w:val="00AB3808"/>
    <w:rsid w:val="00AE5393"/>
    <w:rsid w:val="00AF141B"/>
    <w:rsid w:val="00AF7446"/>
    <w:rsid w:val="00B4440E"/>
    <w:rsid w:val="00B57204"/>
    <w:rsid w:val="00B71534"/>
    <w:rsid w:val="00BA5729"/>
    <w:rsid w:val="00BA6E28"/>
    <w:rsid w:val="00BD18E7"/>
    <w:rsid w:val="00BF5879"/>
    <w:rsid w:val="00BF7E2E"/>
    <w:rsid w:val="00C05AA2"/>
    <w:rsid w:val="00C143C3"/>
    <w:rsid w:val="00C20D0C"/>
    <w:rsid w:val="00C2334D"/>
    <w:rsid w:val="00C56262"/>
    <w:rsid w:val="00C8148A"/>
    <w:rsid w:val="00CA6023"/>
    <w:rsid w:val="00CA714A"/>
    <w:rsid w:val="00CB20AC"/>
    <w:rsid w:val="00CB5B57"/>
    <w:rsid w:val="00CC7399"/>
    <w:rsid w:val="00CE7CF4"/>
    <w:rsid w:val="00CF2618"/>
    <w:rsid w:val="00D26344"/>
    <w:rsid w:val="00D34380"/>
    <w:rsid w:val="00D416D7"/>
    <w:rsid w:val="00D62A79"/>
    <w:rsid w:val="00D717E2"/>
    <w:rsid w:val="00D86A69"/>
    <w:rsid w:val="00DA2652"/>
    <w:rsid w:val="00DA3B95"/>
    <w:rsid w:val="00DC10CF"/>
    <w:rsid w:val="00DC4B76"/>
    <w:rsid w:val="00DD0935"/>
    <w:rsid w:val="00DD1C3C"/>
    <w:rsid w:val="00DF2739"/>
    <w:rsid w:val="00E14C94"/>
    <w:rsid w:val="00E1790E"/>
    <w:rsid w:val="00E40DA2"/>
    <w:rsid w:val="00E70091"/>
    <w:rsid w:val="00E73924"/>
    <w:rsid w:val="00E82B7C"/>
    <w:rsid w:val="00E86A3B"/>
    <w:rsid w:val="00EA5F63"/>
    <w:rsid w:val="00EB20B4"/>
    <w:rsid w:val="00EB69AE"/>
    <w:rsid w:val="00EB6F58"/>
    <w:rsid w:val="00EE038B"/>
    <w:rsid w:val="00EF22A8"/>
    <w:rsid w:val="00F436C2"/>
    <w:rsid w:val="00F5543D"/>
    <w:rsid w:val="00F61F85"/>
    <w:rsid w:val="00F67CA3"/>
    <w:rsid w:val="00F82D54"/>
    <w:rsid w:val="00FA4795"/>
    <w:rsid w:val="00FC301F"/>
    <w:rsid w:val="00FE25F6"/>
    <w:rsid w:val="01D79BDF"/>
    <w:rsid w:val="02482329"/>
    <w:rsid w:val="187D3790"/>
    <w:rsid w:val="342BA1FE"/>
    <w:rsid w:val="3F805AFB"/>
    <w:rsid w:val="414DED05"/>
    <w:rsid w:val="46D99830"/>
    <w:rsid w:val="476FC1F4"/>
    <w:rsid w:val="4C0A6002"/>
    <w:rsid w:val="55526D4B"/>
    <w:rsid w:val="5C95889F"/>
    <w:rsid w:val="65F9F62D"/>
    <w:rsid w:val="66E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268"/>
  <w15:docId w15:val="{144FC6D8-B9B5-4883-8764-205C57F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1"/>
    <w:pPr>
      <w:spacing w:after="120"/>
    </w:pPr>
    <w:rPr>
      <w:rFonts w:ascii="Calibri" w:hAnsi="Calibri"/>
      <w:sz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3CEB"/>
    <w:pPr>
      <w:keepNext/>
      <w:keepLines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2652"/>
    <w:rPr>
      <w:rFonts w:cs="Times New Roman"/>
      <w:color w:val="1F497D" w:themeColor="text2"/>
      <w:u w:val="none"/>
    </w:rPr>
  </w:style>
  <w:style w:type="table" w:styleId="a4">
    <w:name w:val="Table Grid"/>
    <w:basedOn w:val="a1"/>
    <w:uiPriority w:val="59"/>
    <w:rsid w:val="0003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E2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63CEB"/>
    <w:rPr>
      <w:rFonts w:eastAsiaTheme="majorEastAsia" w:cstheme="majorBidi"/>
      <w:b/>
      <w:bCs/>
      <w:sz w:val="28"/>
      <w:szCs w:val="26"/>
      <w:lang w:val="uk-UA"/>
    </w:rPr>
  </w:style>
  <w:style w:type="paragraph" w:styleId="a7">
    <w:name w:val="List Paragraph"/>
    <w:basedOn w:val="a"/>
    <w:uiPriority w:val="34"/>
    <w:qFormat/>
    <w:rsid w:val="00147D7A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12AB"/>
  </w:style>
  <w:style w:type="paragraph" w:styleId="a8">
    <w:name w:val="header"/>
    <w:basedOn w:val="a"/>
    <w:link w:val="a9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2AA"/>
    <w:rPr>
      <w:sz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2AA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4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64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50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.htei.kh.u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.htei.kh.ua/mod/book/view.php?id=1670&amp;chapterid=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com/citations?hl=ru&amp;user=hz-uTMkAAAAJ&amp;scilu=&amp;scisig=AMD79ooAAAAAXo2OLAG0diae-XUB9FUzgeEIn6mSXGJu&amp;gmla=AJsN-F4byQgnsFyyTGIr4WeUqOETIs-De56j3Ut5HC9THDRMahUgWcRbAc97Z7qEs1x2XAOzOgXelLze2fZXpIowayx5VvrpzhKN4L5DmoNTXLDcZIU4sHng1d8by8uT1ofAy9TpyFzfr_S6ft3-HTUMIP5UIyqyNg&amp;sciund=774802642839818135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htei.org.ua/main/fakulteti-kafedri/fakultet-ekonomiki-ta-upravlinnya/kafedra-ekonomiki-pidpriyemstva-ta-ekonomichno%d1%97-teori%d1%9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036e39-5eee-4a7a-ba87-43f0b2ef7ce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F36813E8178A4D92D37CFFCA5C0A40" ma:contentTypeVersion="13" ma:contentTypeDescription="Створення нового документа." ma:contentTypeScope="" ma:versionID="253b2845bb3ea6330e5dc1c79e1955a1">
  <xsd:schema xmlns:xsd="http://www.w3.org/2001/XMLSchema" xmlns:xs="http://www.w3.org/2001/XMLSchema" xmlns:p="http://schemas.microsoft.com/office/2006/metadata/properties" xmlns:ns2="08036e39-5eee-4a7a-ba87-43f0b2ef7cec" xmlns:ns3="e3247878-7407-48b6-a173-1e4a5d02ff62" targetNamespace="http://schemas.microsoft.com/office/2006/metadata/properties" ma:root="true" ma:fieldsID="0f614f70af86e2481e2c95b59ec8c8f6" ns2:_="" ns3:_="">
    <xsd:import namespace="08036e39-5eee-4a7a-ba87-43f0b2ef7cec"/>
    <xsd:import namespace="e3247878-7407-48b6-a173-1e4a5d02f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6e39-5eee-4a7a-ba87-43f0b2ef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7878-7407-48b6-a173-1e4a5d02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544E6-C0D5-43A3-8379-CA0A93EDD36B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936b412-83d8-4dfd-8b1b-f4731dcddc4f"/>
    <ds:schemaRef ds:uri="34ee598a-d459-4907-b0c3-dfb5cf19ad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59859C-2F12-4B2E-A4F9-B74DDB3D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14F1B-E00C-467D-9656-0E8A76D2C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1711</Words>
  <Characters>9755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Наталія Вєтрова</cp:lastModifiedBy>
  <cp:revision>13</cp:revision>
  <dcterms:created xsi:type="dcterms:W3CDTF">2020-04-09T07:04:00Z</dcterms:created>
  <dcterms:modified xsi:type="dcterms:W3CDTF">2021-04-19T06:56:00Z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0x010100F1F36813E8178A4D92D37CFFCA5C0A40</vt:lpwstr>
  </property>
  <property fmtid="{D5CDD505-2E9C-101B-9397-08002B2CF9AE}" pid="3" name="Order">
    <vt:r8>230800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